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3337B">
      <w:pPr>
        <w:ind w:left="0" w:firstLine="0"/>
        <w:rPr>
          <w:rFonts w:hint="eastAsia" w:ascii="黑体" w:hAnsi="宋体" w:eastAsia="黑体" w:cs="黑体"/>
          <w:kern w:val="0"/>
          <w:sz w:val="32"/>
          <w:szCs w:val="32"/>
          <w:lang w:eastAsia="zh-CN" w:bidi="ar"/>
        </w:rPr>
      </w:pPr>
      <w:r>
        <w:rPr>
          <w:rFonts w:hint="eastAsia" w:ascii="黑体" w:hAnsi="宋体" w:eastAsia="黑体" w:cs="黑体"/>
          <w:kern w:val="0"/>
          <w:sz w:val="32"/>
          <w:szCs w:val="32"/>
          <w:lang w:bidi="ar"/>
        </w:rPr>
        <w:t xml:space="preserve">附件 </w:t>
      </w:r>
      <w:r>
        <w:rPr>
          <w:rFonts w:hint="eastAsia" w:ascii="黑体" w:hAnsi="宋体" w:eastAsia="黑体" w:cs="黑体"/>
          <w:kern w:val="0"/>
          <w:sz w:val="32"/>
          <w:szCs w:val="32"/>
          <w:lang w:val="en-US" w:eastAsia="zh-CN" w:bidi="ar"/>
        </w:rPr>
        <w:t>3</w:t>
      </w:r>
      <w:r>
        <w:rPr>
          <w:rFonts w:hint="eastAsia" w:ascii="黑体" w:hAnsi="宋体" w:eastAsia="黑体" w:cs="黑体"/>
          <w:kern w:val="0"/>
          <w:sz w:val="32"/>
          <w:szCs w:val="32"/>
          <w:lang w:bidi="ar"/>
        </w:rPr>
        <w:t xml:space="preserve"> </w:t>
      </w:r>
      <w:r>
        <w:rPr>
          <w:rFonts w:hint="eastAsia" w:ascii="黑体" w:hAnsi="宋体" w:eastAsia="黑体" w:cs="黑体"/>
          <w:kern w:val="0"/>
          <w:sz w:val="32"/>
          <w:szCs w:val="32"/>
          <w:lang w:eastAsia="zh-CN" w:bidi="ar"/>
        </w:rPr>
        <w:t>：</w:t>
      </w:r>
    </w:p>
    <w:p w14:paraId="65DA9FDE">
      <w:pPr>
        <w:keepNext w:val="0"/>
        <w:keepLines w:val="0"/>
        <w:pageBreakBefore w:val="0"/>
        <w:widowControl/>
        <w:kinsoku/>
        <w:wordWrap/>
        <w:overflowPunct/>
        <w:topLinePunct w:val="0"/>
        <w:autoSpaceDE/>
        <w:autoSpaceDN/>
        <w:bidi w:val="0"/>
        <w:adjustRightInd/>
        <w:snapToGrid/>
        <w:spacing w:after="0" w:line="580" w:lineRule="exact"/>
        <w:ind w:left="11" w:right="96" w:hanging="11"/>
        <w:jc w:val="center"/>
        <w:textAlignment w:val="auto"/>
        <w:rPr>
          <w:rFonts w:hint="eastAsia" w:ascii="方正小标宋_GBK" w:eastAsia="方正小标宋_GBK"/>
          <w:b/>
          <w:bCs/>
          <w:sz w:val="44"/>
          <w:szCs w:val="44"/>
          <w:lang w:eastAsia="zh-CN"/>
        </w:rPr>
      </w:pPr>
      <w:r>
        <w:rPr>
          <w:rFonts w:hint="eastAsia" w:ascii="方正小标宋_GBK" w:eastAsia="方正小标宋_GBK"/>
          <w:b/>
          <w:bCs/>
          <w:sz w:val="44"/>
          <w:szCs w:val="44"/>
        </w:rPr>
        <w:t>2025 江苏省施工企业成本管控数字化</w:t>
      </w:r>
      <w:r>
        <w:rPr>
          <w:rFonts w:hint="eastAsia" w:ascii="方正小标宋_GBK" w:eastAsia="方正小标宋_GBK"/>
          <w:b/>
          <w:bCs/>
          <w:sz w:val="44"/>
          <w:szCs w:val="44"/>
          <w:lang w:val="en-US" w:eastAsia="zh-CN"/>
        </w:rPr>
        <w:t>竞赛</w:t>
      </w:r>
    </w:p>
    <w:p w14:paraId="0F33EB9B">
      <w:pPr>
        <w:keepNext w:val="0"/>
        <w:keepLines w:val="0"/>
        <w:pageBreakBefore w:val="0"/>
        <w:widowControl/>
        <w:kinsoku/>
        <w:wordWrap/>
        <w:overflowPunct/>
        <w:topLinePunct w:val="0"/>
        <w:autoSpaceDE/>
        <w:autoSpaceDN/>
        <w:bidi w:val="0"/>
        <w:adjustRightInd/>
        <w:snapToGrid/>
        <w:spacing w:after="0" w:line="580" w:lineRule="exact"/>
        <w:ind w:left="11" w:right="96" w:hanging="11"/>
        <w:jc w:val="center"/>
        <w:textAlignment w:val="auto"/>
        <w:rPr>
          <w:rFonts w:hint="eastAsia" w:ascii="方正小标宋_GBK" w:eastAsia="方正小标宋_GBK"/>
          <w:b/>
          <w:bCs/>
          <w:sz w:val="44"/>
          <w:szCs w:val="44"/>
        </w:rPr>
      </w:pPr>
      <w:r>
        <w:rPr>
          <w:rFonts w:hint="eastAsia" w:ascii="方正小标宋_GBK" w:eastAsia="方正小标宋_GBK"/>
          <w:b/>
          <w:bCs/>
          <w:sz w:val="44"/>
          <w:szCs w:val="44"/>
        </w:rPr>
        <w:t>评分标准</w:t>
      </w:r>
    </w:p>
    <w:p w14:paraId="21803DD1">
      <w:pPr>
        <w:keepNext w:val="0"/>
        <w:keepLines w:val="0"/>
        <w:pageBreakBefore w:val="0"/>
        <w:widowControl/>
        <w:kinsoku/>
        <w:wordWrap/>
        <w:overflowPunct/>
        <w:topLinePunct w:val="0"/>
        <w:autoSpaceDE/>
        <w:autoSpaceDN/>
        <w:bidi w:val="0"/>
        <w:adjustRightInd/>
        <w:snapToGrid/>
        <w:spacing w:after="0" w:line="580" w:lineRule="exact"/>
        <w:ind w:left="11" w:right="96" w:hanging="11"/>
        <w:jc w:val="center"/>
        <w:textAlignment w:val="auto"/>
        <w:rPr>
          <w:rFonts w:hint="eastAsia" w:ascii="方正小标宋_GBK" w:eastAsia="方正小标宋_GBK"/>
          <w:b/>
          <w:bCs/>
          <w:sz w:val="44"/>
          <w:szCs w:val="44"/>
        </w:rPr>
      </w:pPr>
    </w:p>
    <w:p w14:paraId="676D4600">
      <w:pPr>
        <w:spacing w:line="560" w:lineRule="atLeast"/>
        <w:ind w:firstLine="640" w:firstLineChars="200"/>
        <w:jc w:val="both"/>
        <w:rPr>
          <w:rFonts w:hint="eastAsia" w:ascii="仿宋" w:hAnsi="仿宋" w:eastAsia="仿宋" w:cs="方正仿宋_GB2312"/>
          <w:sz w:val="32"/>
          <w:szCs w:val="32"/>
          <w:shd w:val="clear" w:color="auto" w:fill="FFFFFF"/>
        </w:rPr>
      </w:pPr>
      <w:r>
        <w:rPr>
          <w:rFonts w:hint="eastAsia" w:ascii="仿宋" w:hAnsi="仿宋" w:eastAsia="仿宋" w:cs="方正仿宋_GB2312"/>
          <w:sz w:val="32"/>
          <w:szCs w:val="32"/>
          <w:shd w:val="clear" w:color="auto" w:fill="FFFFFF"/>
        </w:rPr>
        <w:t>针对提交案例，按照“</w:t>
      </w:r>
      <w:r>
        <w:rPr>
          <w:rFonts w:hint="eastAsia" w:ascii="仿宋" w:hAnsi="仿宋" w:eastAsia="仿宋" w:cs="方正仿宋_GB2312"/>
          <w:b/>
          <w:bCs/>
          <w:sz w:val="32"/>
          <w:szCs w:val="32"/>
          <w:shd w:val="clear" w:color="auto" w:fill="FFFFFF"/>
        </w:rPr>
        <w:t>企业成本精细化管理创新度</w:t>
      </w:r>
      <w:r>
        <w:rPr>
          <w:rFonts w:hint="eastAsia" w:ascii="仿宋" w:hAnsi="仿宋" w:eastAsia="仿宋" w:cs="方正仿宋_GB2312"/>
          <w:sz w:val="32"/>
          <w:szCs w:val="32"/>
          <w:shd w:val="clear" w:color="auto" w:fill="FFFFFF"/>
        </w:rPr>
        <w:t>”</w:t>
      </w:r>
      <w:r>
        <w:rPr>
          <w:rFonts w:hint="eastAsia" w:ascii="仿宋" w:hAnsi="仿宋" w:eastAsia="仿宋" w:cs="方正仿宋_GB2312"/>
          <w:sz w:val="32"/>
          <w:szCs w:val="32"/>
          <w:shd w:val="clear" w:color="auto" w:fill="FFFFFF"/>
          <w:lang w:eastAsia="zh-CN"/>
        </w:rPr>
        <w:t>、</w:t>
      </w:r>
      <w:r>
        <w:rPr>
          <w:rFonts w:hint="eastAsia" w:ascii="仿宋" w:hAnsi="仿宋" w:eastAsia="仿宋" w:cs="方正仿宋_GB2312"/>
          <w:sz w:val="32"/>
          <w:szCs w:val="32"/>
          <w:shd w:val="clear" w:color="auto" w:fill="FFFFFF"/>
        </w:rPr>
        <w:t>“</w:t>
      </w:r>
      <w:r>
        <w:rPr>
          <w:rFonts w:hint="eastAsia" w:ascii="仿宋" w:hAnsi="仿宋" w:eastAsia="仿宋" w:cs="方正仿宋_GB2312"/>
          <w:b/>
          <w:bCs/>
          <w:sz w:val="32"/>
          <w:szCs w:val="32"/>
          <w:shd w:val="clear" w:color="auto" w:fill="FFFFFF"/>
        </w:rPr>
        <w:t>项目精细化成本管理执行度</w:t>
      </w:r>
      <w:r>
        <w:rPr>
          <w:rFonts w:hint="eastAsia" w:ascii="仿宋" w:hAnsi="仿宋" w:eastAsia="仿宋" w:cs="方正仿宋_GB2312"/>
          <w:sz w:val="32"/>
          <w:szCs w:val="32"/>
          <w:shd w:val="clear" w:color="auto" w:fill="FFFFFF"/>
        </w:rPr>
        <w:t>”</w:t>
      </w:r>
      <w:r>
        <w:rPr>
          <w:rFonts w:hint="eastAsia" w:ascii="仿宋" w:hAnsi="仿宋" w:eastAsia="仿宋" w:cs="方正仿宋_GB2312"/>
          <w:sz w:val="32"/>
          <w:szCs w:val="32"/>
          <w:shd w:val="clear" w:color="auto" w:fill="FFFFFF"/>
          <w:lang w:eastAsia="zh-CN"/>
        </w:rPr>
        <w:t>、</w:t>
      </w:r>
      <w:r>
        <w:rPr>
          <w:rFonts w:hint="eastAsia" w:ascii="仿宋" w:hAnsi="仿宋" w:eastAsia="仿宋" w:cs="方正仿宋_GB2312"/>
          <w:sz w:val="32"/>
          <w:szCs w:val="32"/>
          <w:shd w:val="clear" w:color="auto" w:fill="FFFFFF"/>
        </w:rPr>
        <w:t>“</w:t>
      </w:r>
      <w:r>
        <w:rPr>
          <w:rFonts w:hint="eastAsia" w:ascii="仿宋" w:hAnsi="仿宋" w:eastAsia="仿宋" w:cs="方正仿宋_GB2312"/>
          <w:b/>
          <w:bCs/>
          <w:sz w:val="32"/>
          <w:szCs w:val="32"/>
          <w:shd w:val="clear" w:color="auto" w:fill="FFFFFF"/>
        </w:rPr>
        <w:t>数字化及人员能力支撑度</w:t>
      </w:r>
      <w:r>
        <w:rPr>
          <w:rFonts w:hint="eastAsia" w:ascii="仿宋" w:hAnsi="仿宋" w:eastAsia="仿宋" w:cs="方正仿宋_GB2312"/>
          <w:sz w:val="32"/>
          <w:szCs w:val="32"/>
          <w:shd w:val="clear" w:color="auto" w:fill="FFFFFF"/>
        </w:rPr>
        <w:t>”三个维度进行综合评定，具体如下：</w:t>
      </w:r>
    </w:p>
    <w:p w14:paraId="66235314">
      <w:pPr>
        <w:spacing w:line="560" w:lineRule="atLeast"/>
        <w:ind w:firstLine="640" w:firstLineChars="200"/>
        <w:jc w:val="both"/>
        <w:rPr>
          <w:rFonts w:hint="eastAsia" w:ascii="仿宋" w:hAnsi="仿宋" w:eastAsia="仿宋" w:cs="方正仿宋_GB2312"/>
          <w:sz w:val="32"/>
          <w:szCs w:val="32"/>
          <w:shd w:val="clear" w:color="auto" w:fill="FFFFFF"/>
        </w:rPr>
      </w:pPr>
      <w:r>
        <w:rPr>
          <w:rFonts w:hint="eastAsia" w:ascii="仿宋" w:hAnsi="仿宋" w:eastAsia="仿宋" w:cs="方正仿宋_GB2312"/>
          <w:sz w:val="32"/>
          <w:szCs w:val="32"/>
          <w:shd w:val="clear" w:color="auto" w:fill="FFFFFF"/>
        </w:rPr>
        <w:t>（1）企业成本精细化管理创新度包括，企业整体简介，企业精细化成本管理创新能力；</w:t>
      </w:r>
    </w:p>
    <w:p w14:paraId="74370160">
      <w:pPr>
        <w:spacing w:line="560" w:lineRule="atLeast"/>
        <w:ind w:firstLine="640" w:firstLineChars="200"/>
        <w:jc w:val="both"/>
        <w:rPr>
          <w:rFonts w:hint="eastAsia" w:ascii="仿宋" w:hAnsi="仿宋" w:eastAsia="仿宋" w:cs="方正仿宋_GB2312"/>
          <w:sz w:val="32"/>
          <w:szCs w:val="32"/>
          <w:shd w:val="clear" w:color="auto" w:fill="FFFFFF"/>
        </w:rPr>
      </w:pPr>
      <w:r>
        <w:rPr>
          <w:rFonts w:hint="eastAsia" w:ascii="仿宋" w:hAnsi="仿宋" w:eastAsia="仿宋" w:cs="方正仿宋_GB2312"/>
          <w:sz w:val="32"/>
          <w:szCs w:val="32"/>
          <w:shd w:val="clear" w:color="auto" w:fill="FFFFFF"/>
        </w:rPr>
        <w:t>（2）项目精细化成本管理执行度包括，项目基本概况，项目成本要素管理，项目成本管控的创新举措；</w:t>
      </w:r>
    </w:p>
    <w:p w14:paraId="7D3CBB47">
      <w:pPr>
        <w:spacing w:line="560" w:lineRule="atLeast"/>
        <w:ind w:firstLine="640" w:firstLineChars="200"/>
        <w:jc w:val="both"/>
        <w:rPr>
          <w:rFonts w:hint="eastAsia" w:ascii="仿宋" w:hAnsi="仿宋" w:eastAsia="仿宋" w:cs="方正仿宋_GB2312"/>
          <w:sz w:val="32"/>
          <w:szCs w:val="32"/>
          <w:shd w:val="clear" w:color="auto" w:fill="FFFFFF"/>
        </w:rPr>
      </w:pPr>
      <w:r>
        <w:rPr>
          <w:rFonts w:hint="eastAsia" w:ascii="仿宋" w:hAnsi="仿宋" w:eastAsia="仿宋" w:cs="方正仿宋_GB2312"/>
          <w:sz w:val="32"/>
          <w:szCs w:val="32"/>
          <w:shd w:val="clear" w:color="auto" w:fill="FFFFFF"/>
        </w:rPr>
        <w:t>（3）数字化及人员能力支撑度包括，数字化工具的覆盖深度，成本数据的建设深度，AI+数字化的创新程度，企业人员能力提升的参与程度。</w:t>
      </w:r>
    </w:p>
    <w:p w14:paraId="1DE9994B">
      <w:pPr>
        <w:spacing w:line="560" w:lineRule="atLeast"/>
        <w:ind w:firstLine="640" w:firstLineChars="200"/>
        <w:jc w:val="both"/>
        <w:rPr>
          <w:rFonts w:hint="eastAsia" w:ascii="仿宋" w:hAnsi="仿宋" w:eastAsia="仿宋" w:cs="方正仿宋_GB2312"/>
          <w:sz w:val="32"/>
          <w:szCs w:val="32"/>
          <w:shd w:val="clear" w:color="auto" w:fill="FFFFFF"/>
        </w:rPr>
      </w:pPr>
      <w:r>
        <w:rPr>
          <w:rFonts w:hint="eastAsia" w:ascii="仿宋" w:hAnsi="仿宋" w:eastAsia="仿宋" w:cs="方正仿宋_GB2312"/>
          <w:sz w:val="32"/>
          <w:szCs w:val="32"/>
          <w:shd w:val="clear" w:color="auto" w:fill="FFFFFF"/>
        </w:rPr>
        <w:t>评定方式为逐项评分加权制，满分10分。评委根据关键要素的齐全性，举措的创新性、可行性，管理效果，必要项的满足数量等维度评分。</w:t>
      </w:r>
    </w:p>
    <w:p w14:paraId="25AA8786">
      <w:pPr>
        <w:spacing w:line="560" w:lineRule="atLeast"/>
        <w:ind w:firstLine="640" w:firstLineChars="200"/>
        <w:jc w:val="both"/>
        <w:rPr>
          <w:rFonts w:hint="eastAsia" w:ascii="仿宋" w:hAnsi="仿宋" w:eastAsia="仿宋" w:cs="方正仿宋_GB2312"/>
          <w:sz w:val="32"/>
          <w:szCs w:val="32"/>
          <w:shd w:val="clear" w:color="auto" w:fill="FFFFFF"/>
        </w:rPr>
      </w:pPr>
      <w:bookmarkStart w:id="0" w:name="_GoBack"/>
      <w:bookmarkEnd w:id="0"/>
      <w:r>
        <w:rPr>
          <w:rFonts w:hint="eastAsia" w:ascii="仿宋" w:hAnsi="仿宋" w:eastAsia="仿宋" w:cs="方正仿宋_GB2312"/>
          <w:sz w:val="32"/>
          <w:szCs w:val="32"/>
          <w:shd w:val="clear" w:color="auto" w:fill="FFFFFF"/>
        </w:rPr>
        <w:t>决赛阶段，</w:t>
      </w:r>
      <w:r>
        <w:rPr>
          <w:rFonts w:hint="eastAsia" w:ascii="仿宋" w:hAnsi="仿宋" w:eastAsia="仿宋" w:cs="___WRD_EMBED_SUB_41"/>
          <w:sz w:val="32"/>
          <w:szCs w:val="32"/>
          <w:shd w:val="clear" w:color="auto" w:fill="FFFFFF"/>
        </w:rPr>
        <w:t>按照选手“路演发挥”（</w:t>
      </w:r>
      <w:r>
        <w:rPr>
          <w:rFonts w:hint="eastAsia" w:ascii="仿宋" w:hAnsi="仿宋" w:eastAsia="仿宋" w:cs="宋体"/>
          <w:sz w:val="32"/>
          <w:szCs w:val="32"/>
          <w:shd w:val="clear" w:color="auto" w:fill="FFFFFF"/>
        </w:rPr>
        <w:t>临</w:t>
      </w:r>
      <w:r>
        <w:rPr>
          <w:rFonts w:hint="eastAsia" w:ascii="仿宋" w:hAnsi="仿宋" w:eastAsia="仿宋" w:cs="___WRD_EMBED_SUB_41"/>
          <w:sz w:val="32"/>
          <w:szCs w:val="32"/>
          <w:shd w:val="clear" w:color="auto" w:fill="FFFFFF"/>
        </w:rPr>
        <w:t>场表现）设置额外加分项，</w:t>
      </w:r>
      <w:r>
        <w:rPr>
          <w:rFonts w:hint="eastAsia" w:ascii="仿宋" w:hAnsi="仿宋" w:eastAsia="仿宋" w:cs="方正仿宋_GB2312"/>
          <w:sz w:val="32"/>
          <w:szCs w:val="32"/>
          <w:shd w:val="clear" w:color="auto" w:fill="FFFFFF"/>
        </w:rPr>
        <w:t>共计1分，维度包含“答辩人员的专业程度”和“答辩材料质量”两部分。</w:t>
      </w:r>
    </w:p>
    <w:p w14:paraId="1A1DD8C7">
      <w:pPr>
        <w:spacing w:line="560" w:lineRule="atLeast"/>
        <w:ind w:firstLine="640" w:firstLineChars="200"/>
        <w:jc w:val="both"/>
        <w:rPr>
          <w:rFonts w:hint="eastAsia" w:ascii="仿宋" w:hAnsi="仿宋" w:eastAsia="仿宋" w:cs="方正仿宋_GB2312"/>
          <w:sz w:val="32"/>
          <w:szCs w:val="32"/>
          <w:shd w:val="clear" w:color="auto" w:fill="FFFFFF"/>
        </w:rPr>
      </w:pPr>
      <w:r>
        <w:rPr>
          <w:rFonts w:hint="eastAsia" w:ascii="仿宋" w:hAnsi="仿宋" w:eastAsia="仿宋" w:cs="方正仿宋_GB2312"/>
          <w:sz w:val="32"/>
          <w:szCs w:val="32"/>
          <w:shd w:val="clear" w:color="auto" w:fill="FFFFFF"/>
        </w:rPr>
        <w:t>综上，决赛分数含案例评分及路演发挥加分，总分计11分。</w:t>
      </w:r>
    </w:p>
    <w:p w14:paraId="7F2802A1">
      <w:pPr>
        <w:jc w:val="center"/>
        <w:rPr>
          <w:rFonts w:ascii="仿宋" w:hAnsi="仿宋" w:eastAsia="仿宋" w:cs="方正小标宋简体"/>
          <w:b/>
          <w:bCs/>
          <w:kern w:val="0"/>
          <w:sz w:val="32"/>
          <w:szCs w:val="32"/>
          <w:lang w:bidi="ar"/>
        </w:rPr>
      </w:pPr>
    </w:p>
    <w:p w14:paraId="1CC1E31B">
      <w:pPr>
        <w:jc w:val="center"/>
        <w:rPr>
          <w:rFonts w:ascii="仿宋" w:hAnsi="仿宋" w:eastAsia="仿宋" w:cs="方正小标宋简体"/>
          <w:b/>
          <w:bCs/>
          <w:kern w:val="0"/>
          <w:sz w:val="32"/>
          <w:szCs w:val="32"/>
          <w:lang w:bidi="ar"/>
        </w:rPr>
      </w:pPr>
    </w:p>
    <w:p w14:paraId="29B2BE08">
      <w:pPr>
        <w:jc w:val="center"/>
        <w:rPr>
          <w:rFonts w:hint="eastAsia" w:ascii="仿宋" w:hAnsi="仿宋" w:eastAsia="仿宋" w:cs="方正小标宋简体"/>
          <w:b/>
          <w:bCs/>
          <w:kern w:val="0"/>
          <w:sz w:val="44"/>
          <w:szCs w:val="44"/>
          <w:lang w:bidi="ar"/>
        </w:rPr>
      </w:pPr>
      <w:r>
        <w:rPr>
          <w:rFonts w:hint="eastAsia" w:ascii="仿宋" w:hAnsi="仿宋" w:eastAsia="仿宋" w:cs="方正小标宋简体"/>
          <w:b/>
          <w:bCs/>
          <w:kern w:val="0"/>
          <w:sz w:val="44"/>
          <w:szCs w:val="44"/>
          <w:lang w:eastAsia="zh-CN" w:bidi="ar"/>
        </w:rPr>
        <w:t>竞赛</w:t>
      </w:r>
      <w:r>
        <w:rPr>
          <w:rFonts w:hint="eastAsia" w:ascii="仿宋" w:hAnsi="仿宋" w:eastAsia="仿宋" w:cs="方正小标宋简体"/>
          <w:b/>
          <w:bCs/>
          <w:kern w:val="0"/>
          <w:sz w:val="44"/>
          <w:szCs w:val="44"/>
          <w:lang w:bidi="ar"/>
        </w:rPr>
        <w:t>评分表</w:t>
      </w:r>
    </w:p>
    <w:tbl>
      <w:tblPr>
        <w:tblStyle w:val="11"/>
        <w:tblW w:w="10503" w:type="dxa"/>
        <w:tblInd w:w="-998" w:type="dxa"/>
        <w:tblLayout w:type="fixed"/>
        <w:tblCellMar>
          <w:top w:w="0" w:type="dxa"/>
          <w:left w:w="108" w:type="dxa"/>
          <w:bottom w:w="0" w:type="dxa"/>
          <w:right w:w="108" w:type="dxa"/>
        </w:tblCellMar>
      </w:tblPr>
      <w:tblGrid>
        <w:gridCol w:w="851"/>
        <w:gridCol w:w="851"/>
        <w:gridCol w:w="1387"/>
        <w:gridCol w:w="5839"/>
        <w:gridCol w:w="737"/>
        <w:gridCol w:w="838"/>
      </w:tblGrid>
      <w:tr w14:paraId="78FBF24D">
        <w:tblPrEx>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55E2589F">
            <w:pPr>
              <w:spacing w:line="240" w:lineRule="auto"/>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评价维度</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14:paraId="676EB841">
            <w:pPr>
              <w:spacing w:line="240" w:lineRule="auto"/>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评价指标</w:t>
            </w:r>
          </w:p>
        </w:tc>
        <w:tc>
          <w:tcPr>
            <w:tcW w:w="5839"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1D9F966B">
            <w:pPr>
              <w:spacing w:line="240" w:lineRule="auto"/>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评</w:t>
            </w: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分</w:t>
            </w:r>
            <w:r>
              <w:rPr>
                <w:rFonts w:hint="eastAsia" w:ascii="仿宋" w:hAnsi="仿宋" w:eastAsia="仿宋" w:cs="仿宋"/>
                <w:b/>
                <w:bCs/>
                <w:color w:val="000000" w:themeColor="text1"/>
                <w:kern w:val="0"/>
                <w:sz w:val="21"/>
                <w:szCs w:val="21"/>
                <w:lang w:bidi="ar"/>
                <w14:textFill>
                  <w14:solidFill>
                    <w14:schemeClr w14:val="tx1"/>
                  </w14:solidFill>
                </w14:textFill>
              </w:rPr>
              <w:t>说明</w:t>
            </w:r>
          </w:p>
        </w:tc>
        <w:tc>
          <w:tcPr>
            <w:tcW w:w="737"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E5A4391">
            <w:pPr>
              <w:spacing w:line="240" w:lineRule="auto"/>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子项</w:t>
            </w:r>
          </w:p>
        </w:tc>
        <w:tc>
          <w:tcPr>
            <w:tcW w:w="838"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37DECA19">
            <w:pPr>
              <w:spacing w:line="240" w:lineRule="auto"/>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权重</w:t>
            </w:r>
          </w:p>
        </w:tc>
      </w:tr>
      <w:tr w14:paraId="3E93D6AA">
        <w:tblPrEx>
          <w:tblCellMar>
            <w:top w:w="0" w:type="dxa"/>
            <w:left w:w="108" w:type="dxa"/>
            <w:bottom w:w="0" w:type="dxa"/>
            <w:right w:w="108" w:type="dxa"/>
          </w:tblCellMar>
        </w:tblPrEx>
        <w:trPr>
          <w:trHeight w:val="893"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B7047">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企业成本精细化管理创新度</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F3AD2">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1.1企业整体简介</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5AD6">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企业介绍完整性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A7B3">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按介绍内容的完整性进行评价：</w:t>
            </w:r>
            <w:r>
              <w:rPr>
                <w:rFonts w:hint="eastAsia" w:ascii="仿宋" w:hAnsi="仿宋" w:eastAsia="仿宋" w:cs="仿宋"/>
                <w:color w:val="auto"/>
                <w:kern w:val="0"/>
                <w:sz w:val="21"/>
                <w:szCs w:val="21"/>
                <w:lang w:bidi="ar"/>
              </w:rPr>
              <w:t>内容包含但不限于企业规模、经营范围、经营情况、技术实力、文化价值观等关键要素</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3D7E">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DED7">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w:t>
            </w:r>
          </w:p>
        </w:tc>
      </w:tr>
      <w:tr w14:paraId="03ECE4BC">
        <w:tblPrEx>
          <w:tblCellMar>
            <w:top w:w="0" w:type="dxa"/>
            <w:left w:w="108" w:type="dxa"/>
            <w:bottom w:w="0" w:type="dxa"/>
            <w:right w:w="108" w:type="dxa"/>
          </w:tblCellMar>
        </w:tblPrEx>
        <w:trPr>
          <w:trHeight w:val="92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1B90">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3B0E">
            <w:pPr>
              <w:spacing w:line="240" w:lineRule="auto"/>
              <w:rPr>
                <w:rFonts w:hint="eastAsia" w:ascii="仿宋" w:hAnsi="仿宋" w:eastAsia="仿宋" w:cs="仿宋"/>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5676">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企业社会责任认同性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68E">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按企业获得社会肯定的结果进行评价：</w:t>
            </w:r>
            <w:r>
              <w:rPr>
                <w:rFonts w:hint="eastAsia" w:ascii="仿宋" w:hAnsi="仿宋" w:eastAsia="仿宋" w:cs="仿宋"/>
                <w:color w:val="auto"/>
                <w:kern w:val="0"/>
                <w:sz w:val="21"/>
                <w:szCs w:val="21"/>
                <w:lang w:bidi="ar"/>
              </w:rPr>
              <w:t>内容包含但不限于国家或行业获奖情况、推动社会进步或行业高质量发展上所做的努力</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1FAF">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5E34">
            <w:pPr>
              <w:spacing w:line="240" w:lineRule="auto"/>
              <w:jc w:val="center"/>
              <w:rPr>
                <w:rFonts w:hint="eastAsia" w:ascii="仿宋" w:hAnsi="仿宋" w:eastAsia="仿宋" w:cs="仿宋"/>
                <w:sz w:val="21"/>
                <w:szCs w:val="21"/>
              </w:rPr>
            </w:pPr>
          </w:p>
        </w:tc>
      </w:tr>
      <w:tr w14:paraId="4DABE810">
        <w:tblPrEx>
          <w:tblCellMar>
            <w:top w:w="0" w:type="dxa"/>
            <w:left w:w="108" w:type="dxa"/>
            <w:bottom w:w="0" w:type="dxa"/>
            <w:right w:w="108" w:type="dxa"/>
          </w:tblCellMar>
        </w:tblPrEx>
        <w:trPr>
          <w:trHeight w:val="145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FACBB">
            <w:pPr>
              <w:spacing w:line="240" w:lineRule="auto"/>
              <w:rPr>
                <w:rFonts w:hint="eastAsia" w:ascii="仿宋" w:hAnsi="仿宋" w:eastAsia="仿宋" w:cs="仿宋"/>
                <w:sz w:val="21"/>
                <w:szCs w:val="21"/>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250C3">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1.2企业精细化成本管理创新能力</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FF9D">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管理方法内容的完整性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FB68">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按内容的完整性进行评价。</w:t>
            </w:r>
            <w:r>
              <w:rPr>
                <w:rFonts w:hint="eastAsia" w:ascii="仿宋" w:hAnsi="仿宋" w:eastAsia="仿宋" w:cs="仿宋"/>
                <w:color w:val="auto"/>
                <w:kern w:val="0"/>
                <w:sz w:val="21"/>
                <w:szCs w:val="21"/>
                <w:lang w:bidi="ar"/>
              </w:rPr>
              <w:t>内容关键要素应体现完整，包括但不限于组织体系、招投标合同管理办法、工程投标-项目策划-项目履约-成本要素管控-成本核算分析-确权结算-项目后评价的各环节管理办法、分包和供应链管理办法、纠纷处理办法、奖惩办法、诚信体系等关键要素</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A8A9">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3A1B">
            <w:pPr>
              <w:spacing w:line="240" w:lineRule="auto"/>
              <w:jc w:val="center"/>
              <w:rPr>
                <w:rFonts w:hint="eastAsia" w:ascii="仿宋" w:hAnsi="仿宋" w:eastAsia="仿宋" w:cs="仿宋"/>
                <w:sz w:val="21"/>
                <w:szCs w:val="21"/>
              </w:rPr>
            </w:pPr>
          </w:p>
        </w:tc>
      </w:tr>
      <w:tr w14:paraId="2501A1E9">
        <w:tblPrEx>
          <w:tblCellMar>
            <w:top w:w="0" w:type="dxa"/>
            <w:left w:w="108" w:type="dxa"/>
            <w:bottom w:w="0" w:type="dxa"/>
            <w:right w:w="108" w:type="dxa"/>
          </w:tblCellMar>
        </w:tblPrEx>
        <w:trPr>
          <w:trHeight w:val="50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287E0">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382F4">
            <w:pPr>
              <w:spacing w:line="240" w:lineRule="auto"/>
              <w:rPr>
                <w:rFonts w:hint="eastAsia" w:ascii="仿宋" w:hAnsi="仿宋" w:eastAsia="仿宋" w:cs="仿宋"/>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97AA">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管理方法的有效性与创新性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A79">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按方法与举措的有效性进行评价。</w:t>
            </w:r>
            <w:r>
              <w:rPr>
                <w:rFonts w:hint="eastAsia" w:ascii="仿宋" w:hAnsi="仿宋" w:eastAsia="仿宋" w:cs="仿宋"/>
                <w:color w:val="auto"/>
                <w:kern w:val="0"/>
                <w:sz w:val="21"/>
                <w:szCs w:val="21"/>
                <w:lang w:bidi="ar"/>
              </w:rPr>
              <w:t>注重方法落地性，能够有效解决商务精细化管理问题。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C538">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D733">
            <w:pPr>
              <w:spacing w:line="240" w:lineRule="auto"/>
              <w:jc w:val="center"/>
              <w:rPr>
                <w:rFonts w:hint="eastAsia" w:ascii="仿宋" w:hAnsi="仿宋" w:eastAsia="仿宋" w:cs="仿宋"/>
                <w:sz w:val="21"/>
                <w:szCs w:val="21"/>
              </w:rPr>
            </w:pPr>
          </w:p>
        </w:tc>
      </w:tr>
      <w:tr w14:paraId="6C291EA7">
        <w:tblPrEx>
          <w:tblCellMar>
            <w:top w:w="0" w:type="dxa"/>
            <w:left w:w="108" w:type="dxa"/>
            <w:bottom w:w="0" w:type="dxa"/>
            <w:right w:w="108" w:type="dxa"/>
          </w:tblCellMar>
        </w:tblPrEx>
        <w:trPr>
          <w:trHeight w:val="905"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D2E27">
            <w:pPr>
              <w:spacing w:line="240" w:lineRule="auto"/>
              <w:textAlignment w:val="center"/>
              <w:rPr>
                <w:rFonts w:hint="eastAsia" w:ascii="仿宋" w:hAnsi="仿宋" w:eastAsia="仿宋" w:cs="仿宋"/>
                <w:kern w:val="0"/>
                <w:sz w:val="21"/>
                <w:szCs w:val="21"/>
                <w:lang w:bidi="ar"/>
              </w:rPr>
            </w:pPr>
          </w:p>
          <w:p w14:paraId="70D06515">
            <w:pPr>
              <w:spacing w:line="240" w:lineRule="auto"/>
              <w:textAlignment w:val="center"/>
              <w:rPr>
                <w:rFonts w:hint="eastAsia" w:ascii="仿宋" w:hAnsi="仿宋" w:eastAsia="仿宋" w:cs="仿宋"/>
                <w:kern w:val="0"/>
                <w:sz w:val="21"/>
                <w:szCs w:val="21"/>
                <w:lang w:bidi="ar"/>
              </w:rPr>
            </w:pPr>
          </w:p>
          <w:p w14:paraId="05C2CB72">
            <w:pPr>
              <w:spacing w:line="240" w:lineRule="auto"/>
              <w:textAlignment w:val="center"/>
              <w:rPr>
                <w:rFonts w:hint="eastAsia" w:ascii="仿宋" w:hAnsi="仿宋" w:eastAsia="仿宋" w:cs="仿宋"/>
                <w:kern w:val="0"/>
                <w:sz w:val="21"/>
                <w:szCs w:val="21"/>
                <w:lang w:bidi="ar"/>
              </w:rPr>
            </w:pPr>
          </w:p>
          <w:p w14:paraId="1D038EC9">
            <w:pPr>
              <w:spacing w:line="240" w:lineRule="auto"/>
              <w:textAlignment w:val="center"/>
              <w:rPr>
                <w:rFonts w:hint="eastAsia" w:ascii="仿宋" w:hAnsi="仿宋" w:eastAsia="仿宋" w:cs="仿宋"/>
                <w:kern w:val="0"/>
                <w:sz w:val="21"/>
                <w:szCs w:val="21"/>
                <w:lang w:bidi="ar"/>
              </w:rPr>
            </w:pPr>
          </w:p>
          <w:p w14:paraId="2C897B9A">
            <w:pPr>
              <w:spacing w:line="240" w:lineRule="auto"/>
              <w:textAlignment w:val="center"/>
              <w:rPr>
                <w:rFonts w:hint="eastAsia" w:ascii="仿宋" w:hAnsi="仿宋" w:eastAsia="仿宋" w:cs="仿宋"/>
                <w:kern w:val="0"/>
                <w:sz w:val="21"/>
                <w:szCs w:val="21"/>
                <w:lang w:bidi="ar"/>
              </w:rPr>
            </w:pPr>
          </w:p>
          <w:p w14:paraId="3157A0D5">
            <w:pPr>
              <w:spacing w:line="240" w:lineRule="auto"/>
              <w:textAlignment w:val="center"/>
              <w:rPr>
                <w:rFonts w:hint="eastAsia" w:ascii="仿宋" w:hAnsi="仿宋" w:eastAsia="仿宋" w:cs="仿宋"/>
                <w:kern w:val="0"/>
                <w:sz w:val="21"/>
                <w:szCs w:val="21"/>
                <w:lang w:bidi="ar"/>
              </w:rPr>
            </w:pPr>
          </w:p>
          <w:p w14:paraId="09C1D5B6">
            <w:pPr>
              <w:spacing w:line="240" w:lineRule="auto"/>
              <w:textAlignment w:val="center"/>
              <w:rPr>
                <w:rFonts w:hint="eastAsia" w:ascii="仿宋" w:hAnsi="仿宋" w:eastAsia="仿宋" w:cs="仿宋"/>
                <w:kern w:val="0"/>
                <w:sz w:val="21"/>
                <w:szCs w:val="21"/>
                <w:lang w:bidi="ar"/>
              </w:rPr>
            </w:pPr>
          </w:p>
          <w:p w14:paraId="6C3061C9">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bdr w:val="single" w:color="000000" w:sz="4" w:space="0"/>
                <w:lang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7907020</wp:posOffset>
                  </wp:positionV>
                  <wp:extent cx="5724525" cy="1029970"/>
                  <wp:effectExtent l="0" t="0" r="0" b="0"/>
                  <wp:wrapNone/>
                  <wp:docPr id="7" name="矩形_4"/>
                  <wp:cNvGraphicFramePr/>
                  <a:graphic xmlns:a="http://schemas.openxmlformats.org/drawingml/2006/main">
                    <a:graphicData uri="http://schemas.openxmlformats.org/drawingml/2006/picture">
                      <pic:pic xmlns:pic="http://schemas.openxmlformats.org/drawingml/2006/picture">
                        <pic:nvPicPr>
                          <pic:cNvPr id="7" name="矩形_4"/>
                          <pic:cNvPicPr/>
                        </pic:nvPicPr>
                        <pic:blipFill>
                          <a:blip r:embed="rId6"/>
                          <a:stretch>
                            <a:fillRect/>
                          </a:stretch>
                        </pic:blipFill>
                        <pic:spPr>
                          <a:xfrm>
                            <a:off x="0" y="0"/>
                            <a:ext cx="5724525" cy="1029970"/>
                          </a:xfrm>
                          <a:prstGeom prst="rect">
                            <a:avLst/>
                          </a:prstGeom>
                          <a:noFill/>
                          <a:ln>
                            <a:noFill/>
                          </a:ln>
                        </pic:spPr>
                      </pic:pic>
                    </a:graphicData>
                  </a:graphic>
                </wp:anchor>
              </w:drawing>
            </w:r>
            <w:r>
              <w:rPr>
                <w:rFonts w:hint="eastAsia" w:ascii="仿宋" w:hAnsi="仿宋" w:eastAsia="仿宋" w:cs="仿宋"/>
                <w:kern w:val="0"/>
                <w:sz w:val="21"/>
                <w:szCs w:val="21"/>
                <w:lang w:bidi="ar"/>
              </w:rPr>
              <w:t>项目精细化成本管理执行度</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43E7A">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2.1项目基本概况</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9BDF">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案例工程项目信息的完整性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93C7">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按介绍内容的完整性进行评价：</w:t>
            </w:r>
            <w:r>
              <w:rPr>
                <w:rFonts w:hint="eastAsia" w:ascii="仿宋" w:hAnsi="仿宋" w:eastAsia="仿宋" w:cs="仿宋"/>
                <w:color w:val="auto"/>
                <w:kern w:val="0"/>
                <w:sz w:val="21"/>
                <w:szCs w:val="21"/>
                <w:lang w:bidi="ar"/>
              </w:rPr>
              <w:t>内容包含但不限于项目信息、业态特征、项目体量、项目特点、管理难点等</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0400">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2B25">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60%</w:t>
            </w:r>
          </w:p>
        </w:tc>
      </w:tr>
      <w:tr w14:paraId="2922CCDD">
        <w:tblPrEx>
          <w:tblCellMar>
            <w:top w:w="0" w:type="dxa"/>
            <w:left w:w="108" w:type="dxa"/>
            <w:bottom w:w="0" w:type="dxa"/>
            <w:right w:w="108" w:type="dxa"/>
          </w:tblCellMar>
        </w:tblPrEx>
        <w:trPr>
          <w:trHeight w:val="113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E24F">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AB12">
            <w:pPr>
              <w:spacing w:line="240" w:lineRule="auto"/>
              <w:rPr>
                <w:rFonts w:hint="eastAsia" w:ascii="仿宋" w:hAnsi="仿宋" w:eastAsia="仿宋" w:cs="仿宋"/>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81F">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案例工程精细化成本管理思路</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C69C">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按案例工程精细化成本管理要点进行评价：</w:t>
            </w:r>
            <w:r>
              <w:rPr>
                <w:rFonts w:hint="eastAsia" w:ascii="仿宋" w:hAnsi="仿宋" w:eastAsia="仿宋" w:cs="仿宋"/>
                <w:color w:val="auto"/>
                <w:kern w:val="0"/>
                <w:sz w:val="21"/>
                <w:szCs w:val="21"/>
                <w:lang w:bidi="ar"/>
              </w:rPr>
              <w:t>管理要点包含但不限于标价分离、项目目标管理责任书、过程利润率检视、分包结算、项目数据库建立、签证月结月清、考核兑现、成本总结等）</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377F">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165">
            <w:pPr>
              <w:spacing w:line="240" w:lineRule="auto"/>
              <w:jc w:val="center"/>
              <w:rPr>
                <w:rFonts w:hint="eastAsia" w:ascii="仿宋" w:hAnsi="仿宋" w:eastAsia="仿宋" w:cs="仿宋"/>
                <w:sz w:val="21"/>
                <w:szCs w:val="21"/>
              </w:rPr>
            </w:pPr>
          </w:p>
        </w:tc>
      </w:tr>
      <w:tr w14:paraId="296F4421">
        <w:tblPrEx>
          <w:tblCellMar>
            <w:top w:w="0" w:type="dxa"/>
            <w:left w:w="108" w:type="dxa"/>
            <w:bottom w:w="0" w:type="dxa"/>
            <w:right w:w="108" w:type="dxa"/>
          </w:tblCellMar>
        </w:tblPrEx>
        <w:trPr>
          <w:trHeight w:val="943"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A06B6">
            <w:pPr>
              <w:spacing w:line="240" w:lineRule="auto"/>
              <w:rPr>
                <w:rFonts w:hint="eastAsia" w:ascii="仿宋" w:hAnsi="仿宋" w:eastAsia="仿宋" w:cs="仿宋"/>
                <w:sz w:val="21"/>
                <w:szCs w:val="21"/>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05871">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2.2项目成本要素管理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EF91">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案例工程价格管理</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C15">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按价格测算与精细化成本管控作用的匹配度进行评价。</w:t>
            </w:r>
            <w:r>
              <w:rPr>
                <w:rFonts w:hint="eastAsia" w:ascii="仿宋" w:hAnsi="仿宋" w:eastAsia="仿宋" w:cs="仿宋"/>
                <w:color w:val="auto"/>
                <w:kern w:val="0"/>
                <w:sz w:val="21"/>
                <w:szCs w:val="21"/>
                <w:lang w:bidi="ar"/>
              </w:rPr>
              <w:t>价控中测算项尽可能按工序级列项，支撑成本过程分析可以精准定位问题原因，以便及时纠偏。</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C584">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15%</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2229">
            <w:pPr>
              <w:spacing w:line="240" w:lineRule="auto"/>
              <w:jc w:val="center"/>
              <w:rPr>
                <w:rFonts w:hint="eastAsia" w:ascii="仿宋" w:hAnsi="仿宋" w:eastAsia="仿宋" w:cs="仿宋"/>
                <w:sz w:val="21"/>
                <w:szCs w:val="21"/>
              </w:rPr>
            </w:pPr>
          </w:p>
        </w:tc>
      </w:tr>
      <w:tr w14:paraId="77EA072D">
        <w:tblPrEx>
          <w:tblCellMar>
            <w:top w:w="0" w:type="dxa"/>
            <w:left w:w="108" w:type="dxa"/>
            <w:bottom w:w="0" w:type="dxa"/>
            <w:right w:w="108" w:type="dxa"/>
          </w:tblCellMar>
        </w:tblPrEx>
        <w:trPr>
          <w:trHeight w:val="74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7989">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4448C">
            <w:pPr>
              <w:spacing w:line="240" w:lineRule="auto"/>
              <w:rPr>
                <w:rFonts w:hint="eastAsia" w:ascii="仿宋" w:hAnsi="仿宋" w:eastAsia="仿宋" w:cs="仿宋"/>
                <w:color w:val="262626"/>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AF84">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案例工程工程量管理</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09C9">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按量的精细化程度进行评价。</w:t>
            </w:r>
            <w:r>
              <w:rPr>
                <w:rFonts w:hint="eastAsia" w:ascii="仿宋" w:hAnsi="仿宋" w:eastAsia="仿宋" w:cs="仿宋"/>
                <w:color w:val="auto"/>
                <w:kern w:val="0"/>
                <w:sz w:val="21"/>
                <w:szCs w:val="21"/>
                <w:lang w:bidi="ar"/>
              </w:rPr>
              <w:t>量控尽可能细化规则并精细算量，支撑收入与内控的精细化管理要求。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2BA7">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15%</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7205">
            <w:pPr>
              <w:spacing w:line="240" w:lineRule="auto"/>
              <w:jc w:val="center"/>
              <w:rPr>
                <w:rFonts w:hint="eastAsia" w:ascii="仿宋" w:hAnsi="仿宋" w:eastAsia="仿宋" w:cs="仿宋"/>
                <w:sz w:val="21"/>
                <w:szCs w:val="21"/>
              </w:rPr>
            </w:pPr>
          </w:p>
        </w:tc>
      </w:tr>
      <w:tr w14:paraId="71FB50E9">
        <w:tblPrEx>
          <w:tblCellMar>
            <w:top w:w="0" w:type="dxa"/>
            <w:left w:w="108" w:type="dxa"/>
            <w:bottom w:w="0" w:type="dxa"/>
            <w:right w:w="108" w:type="dxa"/>
          </w:tblCellMar>
        </w:tblPrEx>
        <w:trPr>
          <w:trHeight w:val="1438"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22F9F">
            <w:pPr>
              <w:spacing w:line="240" w:lineRule="auto"/>
              <w:rPr>
                <w:rFonts w:hint="eastAsia" w:ascii="仿宋" w:hAnsi="仿宋" w:eastAsia="仿宋" w:cs="仿宋"/>
                <w:sz w:val="21"/>
                <w:szCs w:val="21"/>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9E4B8">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2.3项目成本管控的创新举措</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2747">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案例工程合理中标的创新举措</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717">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按合理中标创新举措的全面性及有效性进行评价。</w:t>
            </w:r>
            <w:r>
              <w:rPr>
                <w:rFonts w:hint="eastAsia" w:ascii="仿宋" w:hAnsi="仿宋" w:eastAsia="仿宋" w:cs="仿宋"/>
                <w:color w:val="auto"/>
                <w:kern w:val="0"/>
                <w:sz w:val="21"/>
                <w:szCs w:val="21"/>
                <w:lang w:bidi="ar"/>
              </w:rPr>
              <w:t>包含但不限于项目分析、资金情况分析、业主背调、自身成本优势分析（供应链优势考量、技术优势）、可采取的技术措施、招标控制价的合理分析（成本指导定价）、投标成本测算偏差率的有效控制、业主拦标价分析、竞争对手分析等</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759">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7A93">
            <w:pPr>
              <w:spacing w:line="240" w:lineRule="auto"/>
              <w:jc w:val="center"/>
              <w:rPr>
                <w:rFonts w:hint="eastAsia" w:ascii="仿宋" w:hAnsi="仿宋" w:eastAsia="仿宋" w:cs="仿宋"/>
                <w:sz w:val="21"/>
                <w:szCs w:val="21"/>
              </w:rPr>
            </w:pPr>
          </w:p>
        </w:tc>
      </w:tr>
      <w:tr w14:paraId="135C6DFF">
        <w:tblPrEx>
          <w:tblCellMar>
            <w:top w:w="0" w:type="dxa"/>
            <w:left w:w="108" w:type="dxa"/>
            <w:bottom w:w="0" w:type="dxa"/>
            <w:right w:w="108" w:type="dxa"/>
          </w:tblCellMar>
        </w:tblPrEx>
        <w:trPr>
          <w:trHeight w:val="94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BF00E">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53B33">
            <w:pPr>
              <w:spacing w:line="240" w:lineRule="auto"/>
              <w:rPr>
                <w:rFonts w:hint="eastAsia" w:ascii="仿宋" w:hAnsi="仿宋" w:eastAsia="仿宋" w:cs="仿宋"/>
                <w:color w:val="262626"/>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05DD">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案例工程商务策划的创新举措</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F688">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按商务策划内容的完整性和策划方案的有效性进行评价：</w:t>
            </w:r>
            <w:r>
              <w:rPr>
                <w:rFonts w:hint="eastAsia" w:ascii="仿宋" w:hAnsi="仿宋" w:eastAsia="仿宋" w:cs="仿宋"/>
                <w:color w:val="auto"/>
                <w:kern w:val="0"/>
                <w:sz w:val="21"/>
                <w:szCs w:val="21"/>
                <w:lang w:bidi="ar"/>
              </w:rPr>
              <w:t>内容包含但不限于商务策划整体思路、亏损点盈利点以及重点管控风险点的识别、化解风险降本增效的管控措施等</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3FF">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15%</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A09D">
            <w:pPr>
              <w:spacing w:line="240" w:lineRule="auto"/>
              <w:jc w:val="center"/>
              <w:rPr>
                <w:rFonts w:hint="eastAsia" w:ascii="仿宋" w:hAnsi="仿宋" w:eastAsia="仿宋" w:cs="仿宋"/>
                <w:sz w:val="21"/>
                <w:szCs w:val="21"/>
              </w:rPr>
            </w:pPr>
          </w:p>
        </w:tc>
      </w:tr>
      <w:tr w14:paraId="57241133">
        <w:tblPrEx>
          <w:tblCellMar>
            <w:top w:w="0" w:type="dxa"/>
            <w:left w:w="108" w:type="dxa"/>
            <w:bottom w:w="0" w:type="dxa"/>
            <w:right w:w="108" w:type="dxa"/>
          </w:tblCellMar>
        </w:tblPrEx>
        <w:trPr>
          <w:trHeight w:val="81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83A3">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E04D">
            <w:pPr>
              <w:spacing w:line="240" w:lineRule="auto"/>
              <w:rPr>
                <w:rFonts w:hint="eastAsia" w:ascii="仿宋" w:hAnsi="仿宋" w:eastAsia="仿宋" w:cs="仿宋"/>
                <w:color w:val="262626"/>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CCE0">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案例工程成本核算的创新举措</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496">
            <w:pPr>
              <w:spacing w:line="240" w:lineRule="auto"/>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bidi="ar"/>
              </w:rPr>
              <w:t>按项目成本数据来源准确性、穿透性与风险点发现的及时性进行评价：</w:t>
            </w:r>
            <w:r>
              <w:rPr>
                <w:rFonts w:hint="eastAsia" w:ascii="仿宋" w:hAnsi="仿宋" w:eastAsia="仿宋" w:cs="仿宋"/>
                <w:color w:val="auto"/>
                <w:kern w:val="0"/>
                <w:sz w:val="21"/>
                <w:szCs w:val="21"/>
                <w:lang w:bidi="ar"/>
              </w:rPr>
              <w:t>内容包含但不限于“形象进度、合同收入和成本支出”三项数据的统一、核算周期、数据穿透提升核算精度、纠偏方案、过程确权等</w:t>
            </w:r>
            <w:r>
              <w:rPr>
                <w:rFonts w:hint="eastAsia" w:ascii="仿宋" w:hAnsi="仿宋" w:eastAsia="仿宋" w:cs="仿宋"/>
                <w:color w:val="auto"/>
                <w:kern w:val="0"/>
                <w:sz w:val="21"/>
                <w:szCs w:val="21"/>
                <w:lang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E807">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5712">
            <w:pPr>
              <w:spacing w:line="240" w:lineRule="auto"/>
              <w:jc w:val="center"/>
              <w:rPr>
                <w:rFonts w:hint="eastAsia" w:ascii="仿宋" w:hAnsi="仿宋" w:eastAsia="仿宋" w:cs="仿宋"/>
                <w:sz w:val="21"/>
                <w:szCs w:val="21"/>
              </w:rPr>
            </w:pPr>
          </w:p>
        </w:tc>
      </w:tr>
      <w:tr w14:paraId="05B4D005">
        <w:tblPrEx>
          <w:tblCellMar>
            <w:top w:w="0" w:type="dxa"/>
            <w:left w:w="108" w:type="dxa"/>
            <w:bottom w:w="0" w:type="dxa"/>
            <w:right w:w="108" w:type="dxa"/>
          </w:tblCellMar>
        </w:tblPrEx>
        <w:trPr>
          <w:trHeight w:val="96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AC31">
            <w:pPr>
              <w:spacing w:line="240" w:lineRule="auto"/>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A566">
            <w:pPr>
              <w:spacing w:line="240" w:lineRule="auto"/>
              <w:rPr>
                <w:rFonts w:hint="eastAsia" w:ascii="仿宋" w:hAnsi="仿宋" w:eastAsia="仿宋" w:cs="仿宋"/>
                <w:color w:val="262626"/>
                <w:sz w:val="21"/>
                <w:szCs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0C79">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案例工程利润目标控制效果</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76AA">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按“一般、较好、显著”分层级控制效果进行评价</w:t>
            </w:r>
            <w:r>
              <w:rPr>
                <w:rFonts w:hint="eastAsia" w:ascii="仿宋" w:hAnsi="仿宋" w:eastAsia="仿宋" w:cs="仿宋"/>
                <w:color w:val="auto"/>
                <w:kern w:val="0"/>
                <w:sz w:val="21"/>
                <w:szCs w:val="21"/>
                <w:lang w:bidi="ar"/>
              </w:rPr>
              <w:t>。列举案例实际成本节约、潜在的成本优化空间、协同管理成效（物资、质量、进度、安全等）协同高效，共同支持利润目标实现。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4993">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2DE">
            <w:pPr>
              <w:spacing w:line="240" w:lineRule="auto"/>
              <w:jc w:val="center"/>
              <w:rPr>
                <w:rFonts w:hint="eastAsia" w:ascii="仿宋" w:hAnsi="仿宋" w:eastAsia="仿宋" w:cs="仿宋"/>
                <w:sz w:val="21"/>
                <w:szCs w:val="21"/>
              </w:rPr>
            </w:pPr>
          </w:p>
        </w:tc>
      </w:tr>
      <w:tr w14:paraId="6680BCAB">
        <w:tblPrEx>
          <w:tblCellMar>
            <w:top w:w="0" w:type="dxa"/>
            <w:left w:w="108" w:type="dxa"/>
            <w:bottom w:w="0" w:type="dxa"/>
            <w:right w:w="108" w:type="dxa"/>
          </w:tblCellMar>
        </w:tblPrEx>
        <w:trPr>
          <w:trHeight w:val="20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CFC8D">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数字化及人员能力支撑度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18F">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3.1数字化工具的覆盖深度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479B">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项目管理系统、作业系列工具、数据加工系统的覆盖度与协同性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B1D1">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按数字化工具的建设覆盖深度进行评价。</w:t>
            </w:r>
            <w:r>
              <w:rPr>
                <w:rFonts w:hint="eastAsia" w:ascii="仿宋" w:hAnsi="仿宋" w:eastAsia="仿宋" w:cs="仿宋"/>
                <w:color w:val="auto"/>
                <w:kern w:val="0"/>
                <w:sz w:val="21"/>
                <w:szCs w:val="21"/>
                <w:lang w:bidi="ar"/>
              </w:rPr>
              <w:t>是指企业在项目成本侧数字化应用工具的实际建设面，所覆盖的工具及工具间的数据互通能有效的应用到实际工程的成本管理工作中。</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数字化工具包但不限于以下内容：</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①成本测算工具；</w:t>
            </w:r>
            <w:r>
              <w:rPr>
                <w:rStyle w:val="32"/>
                <w:rFonts w:ascii="仿宋" w:hAnsi="仿宋" w:eastAsia="仿宋" w:cs="仿宋"/>
                <w:color w:val="auto"/>
                <w:sz w:val="21"/>
                <w:szCs w:val="21"/>
                <w:lang w:bidi="ar"/>
              </w:rPr>
              <w:t>②成本核算工具</w:t>
            </w:r>
            <w:r>
              <w:rPr>
                <w:rStyle w:val="32"/>
                <w:rFonts w:ascii="仿宋" w:hAnsi="仿宋" w:eastAsia="仿宋" w:cs="仿宋"/>
                <w:color w:val="auto"/>
                <w:sz w:val="21"/>
                <w:szCs w:val="21"/>
                <w:lang w:eastAsia="zh-CN" w:bidi="ar"/>
              </w:rPr>
              <w:t>；</w:t>
            </w:r>
            <w:r>
              <w:rPr>
                <w:rFonts w:hint="eastAsia" w:ascii="仿宋" w:hAnsi="仿宋" w:eastAsia="仿宋" w:cs="仿宋"/>
                <w:color w:val="auto"/>
                <w:kern w:val="0"/>
                <w:sz w:val="21"/>
                <w:szCs w:val="21"/>
                <w:lang w:bidi="ar"/>
              </w:rPr>
              <w:t>③BIM算量工具；④计价工具；⑤项目管理系统；⑥数据加工系统（数据加工、数据管理）</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bidi="ar"/>
              </w:rPr>
              <w:t>⑦BIM设计类工具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74B8">
            <w:pPr>
              <w:spacing w:line="240" w:lineRule="auto"/>
              <w:jc w:val="center"/>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30%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8FDC">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w:t>
            </w:r>
          </w:p>
        </w:tc>
      </w:tr>
      <w:tr w14:paraId="7B08B25A">
        <w:tblPrEx>
          <w:tblCellMar>
            <w:top w:w="0" w:type="dxa"/>
            <w:left w:w="108" w:type="dxa"/>
            <w:bottom w:w="0" w:type="dxa"/>
            <w:right w:w="108" w:type="dxa"/>
          </w:tblCellMar>
        </w:tblPrEx>
        <w:trPr>
          <w:trHeight w:val="171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CC7A">
            <w:pPr>
              <w:spacing w:line="240" w:lineRule="auto"/>
              <w:jc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54C9">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3.2成本数据的建设深度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595">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成本数据标准与数据内容建设的全面性</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6AFE">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按成本数据的建设覆盖面进行评价。</w:t>
            </w:r>
            <w:r>
              <w:rPr>
                <w:rFonts w:hint="eastAsia" w:ascii="仿宋" w:hAnsi="仿宋" w:eastAsia="仿宋" w:cs="仿宋"/>
                <w:color w:val="auto"/>
                <w:kern w:val="0"/>
                <w:sz w:val="21"/>
                <w:szCs w:val="21"/>
                <w:lang w:bidi="ar"/>
              </w:rPr>
              <w:t>是指成本数据资产以数字化方式进行积累、沉淀的情况。</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成本数据建设包含但不限于以下内容：</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①成本科目划分标准；②主要材料价</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bidi="ar"/>
              </w:rPr>
              <w:t>③成本指标；④含量指标；⑤历史项目分包价格；⑥分包指导价格；⑦主材损耗率；⑧企业定额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165">
            <w:pPr>
              <w:spacing w:line="240" w:lineRule="auto"/>
              <w:jc w:val="center"/>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30%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58B3">
            <w:pPr>
              <w:spacing w:line="240" w:lineRule="auto"/>
              <w:jc w:val="center"/>
              <w:rPr>
                <w:rFonts w:hint="eastAsia" w:ascii="仿宋" w:hAnsi="仿宋" w:eastAsia="仿宋" w:cs="仿宋"/>
                <w:sz w:val="21"/>
                <w:szCs w:val="21"/>
              </w:rPr>
            </w:pPr>
          </w:p>
        </w:tc>
      </w:tr>
      <w:tr w14:paraId="2406E5D7">
        <w:tblPrEx>
          <w:tblCellMar>
            <w:top w:w="0" w:type="dxa"/>
            <w:left w:w="108" w:type="dxa"/>
            <w:bottom w:w="0" w:type="dxa"/>
            <w:right w:w="108" w:type="dxa"/>
          </w:tblCellMar>
        </w:tblPrEx>
        <w:trPr>
          <w:trHeight w:val="538"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131F">
            <w:pPr>
              <w:spacing w:line="240" w:lineRule="auto"/>
              <w:jc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3972">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3.3AI+数字化的创新程度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9233">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AI+、机器人等的应用创新</w:t>
            </w:r>
          </w:p>
        </w:tc>
        <w:tc>
          <w:tcPr>
            <w:tcW w:w="5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6275">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按AI+、机器人等实际应用情况进行评价。</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D141">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B802">
            <w:pPr>
              <w:spacing w:line="240" w:lineRule="auto"/>
              <w:jc w:val="center"/>
              <w:rPr>
                <w:rFonts w:hint="eastAsia" w:ascii="仿宋" w:hAnsi="仿宋" w:eastAsia="仿宋" w:cs="仿宋"/>
                <w:sz w:val="21"/>
                <w:szCs w:val="21"/>
              </w:rPr>
            </w:pPr>
          </w:p>
        </w:tc>
      </w:tr>
      <w:tr w14:paraId="365CFCAE">
        <w:tblPrEx>
          <w:tblCellMar>
            <w:top w:w="0" w:type="dxa"/>
            <w:left w:w="108" w:type="dxa"/>
            <w:bottom w:w="0" w:type="dxa"/>
            <w:right w:w="108" w:type="dxa"/>
          </w:tblCellMar>
        </w:tblPrEx>
        <w:trPr>
          <w:trHeight w:val="54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3D07">
            <w:pPr>
              <w:spacing w:line="240" w:lineRule="auto"/>
              <w:jc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9CD">
            <w:pPr>
              <w:spacing w:line="240" w:lineRule="auto"/>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3.4企业人员能力提升的参与程度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985">
            <w:pPr>
              <w:spacing w:line="240" w:lineRule="auto"/>
              <w:textAlignment w:val="center"/>
              <w:rPr>
                <w:rFonts w:hint="eastAsia" w:ascii="仿宋" w:hAnsi="仿宋" w:eastAsia="仿宋" w:cs="仿宋"/>
                <w:color w:val="262626"/>
                <w:sz w:val="21"/>
                <w:szCs w:val="21"/>
              </w:rPr>
            </w:pPr>
            <w:r>
              <w:rPr>
                <w:rFonts w:hint="eastAsia" w:ascii="仿宋" w:hAnsi="仿宋" w:eastAsia="仿宋" w:cs="仿宋"/>
                <w:color w:val="262626"/>
                <w:kern w:val="0"/>
                <w:sz w:val="21"/>
                <w:szCs w:val="21"/>
                <w:lang w:bidi="ar"/>
              </w:rPr>
              <w:t>培训赋能员工参与度</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DA50">
            <w:pPr>
              <w:spacing w:line="240" w:lineRule="auto"/>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按企业员工参与程度进行评价。</w:t>
            </w:r>
            <w:r>
              <w:rPr>
                <w:rFonts w:hint="eastAsia" w:ascii="仿宋" w:hAnsi="仿宋" w:eastAsia="仿宋" w:cs="仿宋"/>
                <w:color w:val="auto"/>
                <w:kern w:val="0"/>
                <w:sz w:val="21"/>
                <w:szCs w:val="21"/>
                <w:lang w:bidi="ar"/>
              </w:rPr>
              <w:t>在方法、技能方面给商务人员相关的培训赋能，提升人员能力，注重人员的覆盖面。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E1E">
            <w:pPr>
              <w:spacing w:line="240" w:lineRule="auto"/>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0171">
            <w:pPr>
              <w:spacing w:line="240" w:lineRule="auto"/>
              <w:jc w:val="center"/>
              <w:rPr>
                <w:rFonts w:hint="eastAsia" w:ascii="仿宋" w:hAnsi="仿宋" w:eastAsia="仿宋" w:cs="仿宋"/>
                <w:sz w:val="21"/>
                <w:szCs w:val="21"/>
              </w:rPr>
            </w:pPr>
          </w:p>
        </w:tc>
      </w:tr>
    </w:tbl>
    <w:p w14:paraId="285674A2">
      <w:pPr>
        <w:rPr>
          <w:rFonts w:hint="eastAsia" w:ascii="仿宋" w:hAnsi="仿宋" w:eastAsia="仿宋" w:cs="仿宋"/>
          <w:b/>
          <w:bCs/>
          <w:kern w:val="0"/>
          <w:sz w:val="21"/>
          <w:szCs w:val="21"/>
          <w:lang w:bidi="ar"/>
        </w:rPr>
      </w:pPr>
    </w:p>
    <w:p w14:paraId="17C52107">
      <w:pPr>
        <w:rPr>
          <w:rFonts w:hint="eastAsia" w:ascii="仿宋" w:hAnsi="仿宋" w:eastAsia="仿宋"/>
          <w:b/>
          <w:bCs/>
          <w:sz w:val="21"/>
          <w:szCs w:val="21"/>
        </w:rPr>
      </w:pPr>
    </w:p>
    <w:sectPr>
      <w:pgSz w:w="11906" w:h="16838"/>
      <w:pgMar w:top="1440" w:right="1800" w:bottom="1440" w:left="1800" w:header="720" w:footer="720" w:gutter="0"/>
      <w:cols w:space="720"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04C77317-F9EC-4967-BD45-A70F918E43B4}"/>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A7FED37B-E3BF-4E00-B8E0-281E2728D0FF}"/>
  </w:font>
  <w:font w:name="方正仿宋_GB2312">
    <w:panose1 w:val="02000000000000000000"/>
    <w:charset w:val="86"/>
    <w:family w:val="auto"/>
    <w:pitch w:val="default"/>
    <w:sig w:usb0="A00002BF" w:usb1="184F6CFA" w:usb2="00000012" w:usb3="00000000" w:csb0="00040001" w:csb1="00000000"/>
    <w:embedRegular r:id="rId3" w:fontKey="{C06552FF-A4F3-412F-9DA9-5744DEDE193B}"/>
  </w:font>
  <w:font w:name="___WRD_EMBED_SUB_41">
    <w:altName w:val="Malgun Gothic Semilight"/>
    <w:panose1 w:val="00000000000000000000"/>
    <w:charset w:val="86"/>
    <w:family w:val="auto"/>
    <w:pitch w:val="default"/>
    <w:sig w:usb0="00000000" w:usb1="00000000" w:usb2="00000012" w:usb3="00000000" w:csb0="00040001" w:csb1="00000000"/>
    <w:embedRegular r:id="rId4" w:fontKey="{EC924A52-115D-475F-BBA5-A5F14426E5B3}"/>
  </w:font>
  <w:font w:name="Malgun Gothic Semilight">
    <w:panose1 w:val="020B0502040204020203"/>
    <w:charset w:val="86"/>
    <w:family w:val="auto"/>
    <w:pitch w:val="default"/>
    <w:sig w:usb0="900002AF" w:usb1="01D77CFB" w:usb2="00000012" w:usb3="00000000" w:csb0="203E01BD" w:csb1="D7FF0000"/>
  </w:font>
  <w:font w:name="方正小标宋简体">
    <w:panose1 w:val="02010600010101010101"/>
    <w:charset w:val="86"/>
    <w:family w:val="auto"/>
    <w:pitch w:val="default"/>
    <w:sig w:usb0="00000001" w:usb1="080E0000" w:usb2="00000000" w:usb3="00000000" w:csb0="00040000" w:csb1="00000000"/>
    <w:embedRegular r:id="rId5" w:fontKey="{902AB074-3A66-4825-8FE8-576502A69E8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2" w:lineRule="auto"/>
      </w:pPr>
      <w:r>
        <w:separator/>
      </w:r>
    </w:p>
  </w:footnote>
  <w:footnote w:type="continuationSeparator" w:id="1">
    <w:p>
      <w:pPr>
        <w:spacing w:before="0" w:after="0" w:line="33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MzY1NDE1MmNkNTk5NGJkZmQ2MzAwNTgwMzc4ZjEifQ=="/>
  </w:docVars>
  <w:rsids>
    <w:rsidRoot w:val="00F87A05"/>
    <w:rsid w:val="00013C1B"/>
    <w:rsid w:val="00025968"/>
    <w:rsid w:val="00046544"/>
    <w:rsid w:val="00057568"/>
    <w:rsid w:val="000662DB"/>
    <w:rsid w:val="00071E6D"/>
    <w:rsid w:val="000A5A36"/>
    <w:rsid w:val="000C260B"/>
    <w:rsid w:val="000F1A8B"/>
    <w:rsid w:val="000F1F91"/>
    <w:rsid w:val="000F4161"/>
    <w:rsid w:val="001016EA"/>
    <w:rsid w:val="00114503"/>
    <w:rsid w:val="0011781E"/>
    <w:rsid w:val="00117F0A"/>
    <w:rsid w:val="001267AC"/>
    <w:rsid w:val="001270A0"/>
    <w:rsid w:val="0013318F"/>
    <w:rsid w:val="001377EB"/>
    <w:rsid w:val="001420D0"/>
    <w:rsid w:val="00153838"/>
    <w:rsid w:val="00161465"/>
    <w:rsid w:val="001614DC"/>
    <w:rsid w:val="00171060"/>
    <w:rsid w:val="00174A14"/>
    <w:rsid w:val="001A1260"/>
    <w:rsid w:val="001C1D28"/>
    <w:rsid w:val="001C487C"/>
    <w:rsid w:val="001D6E3B"/>
    <w:rsid w:val="001E1437"/>
    <w:rsid w:val="001E3E3D"/>
    <w:rsid w:val="00235C4B"/>
    <w:rsid w:val="00286EFD"/>
    <w:rsid w:val="00293B84"/>
    <w:rsid w:val="002954E9"/>
    <w:rsid w:val="002B0A7E"/>
    <w:rsid w:val="002E49F2"/>
    <w:rsid w:val="002F11A0"/>
    <w:rsid w:val="002F4B52"/>
    <w:rsid w:val="002F72A1"/>
    <w:rsid w:val="003012D7"/>
    <w:rsid w:val="00373625"/>
    <w:rsid w:val="0039366A"/>
    <w:rsid w:val="003A501A"/>
    <w:rsid w:val="003A7521"/>
    <w:rsid w:val="003B7521"/>
    <w:rsid w:val="003D2927"/>
    <w:rsid w:val="003D7B05"/>
    <w:rsid w:val="003E1558"/>
    <w:rsid w:val="00405C15"/>
    <w:rsid w:val="00410C12"/>
    <w:rsid w:val="004137A7"/>
    <w:rsid w:val="00441869"/>
    <w:rsid w:val="004431FD"/>
    <w:rsid w:val="00455531"/>
    <w:rsid w:val="0047437C"/>
    <w:rsid w:val="00486B00"/>
    <w:rsid w:val="00497731"/>
    <w:rsid w:val="00497D65"/>
    <w:rsid w:val="004A21B9"/>
    <w:rsid w:val="004A43B4"/>
    <w:rsid w:val="004C3718"/>
    <w:rsid w:val="004E022F"/>
    <w:rsid w:val="004E04FD"/>
    <w:rsid w:val="0050167D"/>
    <w:rsid w:val="00505704"/>
    <w:rsid w:val="00516F3C"/>
    <w:rsid w:val="00525350"/>
    <w:rsid w:val="00534385"/>
    <w:rsid w:val="00537FAB"/>
    <w:rsid w:val="00541A9F"/>
    <w:rsid w:val="005434A2"/>
    <w:rsid w:val="00544E86"/>
    <w:rsid w:val="00567E8B"/>
    <w:rsid w:val="00573AD7"/>
    <w:rsid w:val="005978BD"/>
    <w:rsid w:val="005A57CD"/>
    <w:rsid w:val="005B0514"/>
    <w:rsid w:val="005D7927"/>
    <w:rsid w:val="005E2EB1"/>
    <w:rsid w:val="005F1D9D"/>
    <w:rsid w:val="005F2CE8"/>
    <w:rsid w:val="00612682"/>
    <w:rsid w:val="00641F02"/>
    <w:rsid w:val="00652736"/>
    <w:rsid w:val="006560D6"/>
    <w:rsid w:val="00682903"/>
    <w:rsid w:val="00695CDF"/>
    <w:rsid w:val="006A4237"/>
    <w:rsid w:val="006A671C"/>
    <w:rsid w:val="006B0363"/>
    <w:rsid w:val="006C7AFD"/>
    <w:rsid w:val="006E1203"/>
    <w:rsid w:val="006F1A41"/>
    <w:rsid w:val="006F500D"/>
    <w:rsid w:val="006F71BB"/>
    <w:rsid w:val="0073776B"/>
    <w:rsid w:val="00750144"/>
    <w:rsid w:val="00756D5E"/>
    <w:rsid w:val="0076337B"/>
    <w:rsid w:val="0076745C"/>
    <w:rsid w:val="00773FCD"/>
    <w:rsid w:val="007854C6"/>
    <w:rsid w:val="00793DC9"/>
    <w:rsid w:val="00794D35"/>
    <w:rsid w:val="007A41C0"/>
    <w:rsid w:val="007A5CEF"/>
    <w:rsid w:val="007A7FC3"/>
    <w:rsid w:val="007B1A0F"/>
    <w:rsid w:val="007B5A4C"/>
    <w:rsid w:val="007C0880"/>
    <w:rsid w:val="007D1250"/>
    <w:rsid w:val="007E26B3"/>
    <w:rsid w:val="007F22C1"/>
    <w:rsid w:val="0083296B"/>
    <w:rsid w:val="00832E10"/>
    <w:rsid w:val="008564E0"/>
    <w:rsid w:val="00866B3E"/>
    <w:rsid w:val="00866B4F"/>
    <w:rsid w:val="00885581"/>
    <w:rsid w:val="00886034"/>
    <w:rsid w:val="00892042"/>
    <w:rsid w:val="008B01B6"/>
    <w:rsid w:val="008C0D33"/>
    <w:rsid w:val="008C562F"/>
    <w:rsid w:val="008C722F"/>
    <w:rsid w:val="008F0E1D"/>
    <w:rsid w:val="008F6CAA"/>
    <w:rsid w:val="00932DE7"/>
    <w:rsid w:val="00932F58"/>
    <w:rsid w:val="0093604B"/>
    <w:rsid w:val="009506BB"/>
    <w:rsid w:val="009677A8"/>
    <w:rsid w:val="00973C43"/>
    <w:rsid w:val="00986427"/>
    <w:rsid w:val="00993656"/>
    <w:rsid w:val="009941E4"/>
    <w:rsid w:val="009A29BE"/>
    <w:rsid w:val="009A5282"/>
    <w:rsid w:val="009B2EA4"/>
    <w:rsid w:val="009E3E00"/>
    <w:rsid w:val="009E6129"/>
    <w:rsid w:val="00A00F8C"/>
    <w:rsid w:val="00A0423E"/>
    <w:rsid w:val="00A0710A"/>
    <w:rsid w:val="00A11E0C"/>
    <w:rsid w:val="00A169C5"/>
    <w:rsid w:val="00A17A0A"/>
    <w:rsid w:val="00A17A41"/>
    <w:rsid w:val="00A22974"/>
    <w:rsid w:val="00A24925"/>
    <w:rsid w:val="00A27F71"/>
    <w:rsid w:val="00AA5F37"/>
    <w:rsid w:val="00AC4C5E"/>
    <w:rsid w:val="00AE1BA6"/>
    <w:rsid w:val="00AF2805"/>
    <w:rsid w:val="00AF3D15"/>
    <w:rsid w:val="00B14C20"/>
    <w:rsid w:val="00B2494E"/>
    <w:rsid w:val="00B41DC7"/>
    <w:rsid w:val="00B56EFE"/>
    <w:rsid w:val="00B67003"/>
    <w:rsid w:val="00B7460E"/>
    <w:rsid w:val="00B75810"/>
    <w:rsid w:val="00B92555"/>
    <w:rsid w:val="00BA1146"/>
    <w:rsid w:val="00BC05A0"/>
    <w:rsid w:val="00BD1CDE"/>
    <w:rsid w:val="00BE1DFA"/>
    <w:rsid w:val="00BF291A"/>
    <w:rsid w:val="00BF2F21"/>
    <w:rsid w:val="00BF61AA"/>
    <w:rsid w:val="00C01797"/>
    <w:rsid w:val="00C061B3"/>
    <w:rsid w:val="00C06924"/>
    <w:rsid w:val="00C326B3"/>
    <w:rsid w:val="00C32DF0"/>
    <w:rsid w:val="00C47DE1"/>
    <w:rsid w:val="00C557F7"/>
    <w:rsid w:val="00C766AB"/>
    <w:rsid w:val="00C846D2"/>
    <w:rsid w:val="00C95D68"/>
    <w:rsid w:val="00C978CE"/>
    <w:rsid w:val="00CA3534"/>
    <w:rsid w:val="00CA3A76"/>
    <w:rsid w:val="00CB18B9"/>
    <w:rsid w:val="00CB2916"/>
    <w:rsid w:val="00CB481A"/>
    <w:rsid w:val="00CC2DA4"/>
    <w:rsid w:val="00CC5399"/>
    <w:rsid w:val="00CE6BF9"/>
    <w:rsid w:val="00CE7E02"/>
    <w:rsid w:val="00CF21B0"/>
    <w:rsid w:val="00D00D87"/>
    <w:rsid w:val="00D04E64"/>
    <w:rsid w:val="00D4768D"/>
    <w:rsid w:val="00D5799D"/>
    <w:rsid w:val="00D77A32"/>
    <w:rsid w:val="00D91A6D"/>
    <w:rsid w:val="00D9768E"/>
    <w:rsid w:val="00DA0DE6"/>
    <w:rsid w:val="00DA5525"/>
    <w:rsid w:val="00DB0646"/>
    <w:rsid w:val="00DB4870"/>
    <w:rsid w:val="00DD1633"/>
    <w:rsid w:val="00E20C57"/>
    <w:rsid w:val="00E25A29"/>
    <w:rsid w:val="00E27437"/>
    <w:rsid w:val="00E32540"/>
    <w:rsid w:val="00E34B71"/>
    <w:rsid w:val="00E45DA5"/>
    <w:rsid w:val="00E6556C"/>
    <w:rsid w:val="00E67B26"/>
    <w:rsid w:val="00E84FD3"/>
    <w:rsid w:val="00E91538"/>
    <w:rsid w:val="00E94ABD"/>
    <w:rsid w:val="00EA19FA"/>
    <w:rsid w:val="00EA4933"/>
    <w:rsid w:val="00EB2CAB"/>
    <w:rsid w:val="00EB4BF6"/>
    <w:rsid w:val="00EC47F4"/>
    <w:rsid w:val="00ED7A13"/>
    <w:rsid w:val="00EE2B1E"/>
    <w:rsid w:val="00EF1EF5"/>
    <w:rsid w:val="00EF280D"/>
    <w:rsid w:val="00EF5D88"/>
    <w:rsid w:val="00F123F3"/>
    <w:rsid w:val="00F21551"/>
    <w:rsid w:val="00F4658D"/>
    <w:rsid w:val="00F52600"/>
    <w:rsid w:val="00F55FC7"/>
    <w:rsid w:val="00F61C31"/>
    <w:rsid w:val="00F833E9"/>
    <w:rsid w:val="00F837CD"/>
    <w:rsid w:val="00F84FDC"/>
    <w:rsid w:val="00F87A05"/>
    <w:rsid w:val="00FC4834"/>
    <w:rsid w:val="00FC4FBB"/>
    <w:rsid w:val="00FD670C"/>
    <w:rsid w:val="00FD6D42"/>
    <w:rsid w:val="00FE0275"/>
    <w:rsid w:val="00FE275F"/>
    <w:rsid w:val="00FE58E3"/>
    <w:rsid w:val="00FF61F1"/>
    <w:rsid w:val="04722D72"/>
    <w:rsid w:val="04B862AB"/>
    <w:rsid w:val="04F80D9E"/>
    <w:rsid w:val="05056ECB"/>
    <w:rsid w:val="051554AC"/>
    <w:rsid w:val="05F872A7"/>
    <w:rsid w:val="069074E0"/>
    <w:rsid w:val="08243A7E"/>
    <w:rsid w:val="08253C58"/>
    <w:rsid w:val="0B370E22"/>
    <w:rsid w:val="0C6F7B97"/>
    <w:rsid w:val="0CAF268A"/>
    <w:rsid w:val="0D464D9C"/>
    <w:rsid w:val="0D9553DC"/>
    <w:rsid w:val="0DEE2D3E"/>
    <w:rsid w:val="0E3C7F4D"/>
    <w:rsid w:val="0F39623B"/>
    <w:rsid w:val="0F5D461F"/>
    <w:rsid w:val="0F7C2CF7"/>
    <w:rsid w:val="10746873"/>
    <w:rsid w:val="113076EC"/>
    <w:rsid w:val="11FA6155"/>
    <w:rsid w:val="127F1866"/>
    <w:rsid w:val="12EE791C"/>
    <w:rsid w:val="134C0C32"/>
    <w:rsid w:val="14186D67"/>
    <w:rsid w:val="14643D5A"/>
    <w:rsid w:val="14887A48"/>
    <w:rsid w:val="14D26F15"/>
    <w:rsid w:val="16985F3D"/>
    <w:rsid w:val="174340FA"/>
    <w:rsid w:val="17E25EF2"/>
    <w:rsid w:val="18846779"/>
    <w:rsid w:val="193E101D"/>
    <w:rsid w:val="19E27BFB"/>
    <w:rsid w:val="1B776A68"/>
    <w:rsid w:val="1CC15A40"/>
    <w:rsid w:val="1D8B67FB"/>
    <w:rsid w:val="1E5D3CF4"/>
    <w:rsid w:val="22250FCC"/>
    <w:rsid w:val="249D12EE"/>
    <w:rsid w:val="25AE3087"/>
    <w:rsid w:val="29051484"/>
    <w:rsid w:val="2AE8703B"/>
    <w:rsid w:val="2D834DF9"/>
    <w:rsid w:val="2DB41456"/>
    <w:rsid w:val="2ED0406E"/>
    <w:rsid w:val="2F3943C1"/>
    <w:rsid w:val="2F5C7FF7"/>
    <w:rsid w:val="307A6987"/>
    <w:rsid w:val="31AD68E8"/>
    <w:rsid w:val="31CC3212"/>
    <w:rsid w:val="31E367AE"/>
    <w:rsid w:val="323D5EBE"/>
    <w:rsid w:val="328C79CB"/>
    <w:rsid w:val="36193992"/>
    <w:rsid w:val="398C14D9"/>
    <w:rsid w:val="3D480E74"/>
    <w:rsid w:val="40910DA7"/>
    <w:rsid w:val="40EF0864"/>
    <w:rsid w:val="41AA2E44"/>
    <w:rsid w:val="41AC44C7"/>
    <w:rsid w:val="42D43182"/>
    <w:rsid w:val="440C7C6F"/>
    <w:rsid w:val="4A205A52"/>
    <w:rsid w:val="4AC275E1"/>
    <w:rsid w:val="4D594475"/>
    <w:rsid w:val="4D8B1D7C"/>
    <w:rsid w:val="4DCD4142"/>
    <w:rsid w:val="4E41243B"/>
    <w:rsid w:val="50C03AEB"/>
    <w:rsid w:val="51567BE4"/>
    <w:rsid w:val="51EB40CA"/>
    <w:rsid w:val="536E5A80"/>
    <w:rsid w:val="538C4158"/>
    <w:rsid w:val="53CC09F8"/>
    <w:rsid w:val="540D34EB"/>
    <w:rsid w:val="54310662"/>
    <w:rsid w:val="553D1BAE"/>
    <w:rsid w:val="572823EA"/>
    <w:rsid w:val="586631C9"/>
    <w:rsid w:val="5BE3000B"/>
    <w:rsid w:val="5BE56AFB"/>
    <w:rsid w:val="5C531CB7"/>
    <w:rsid w:val="5CB70498"/>
    <w:rsid w:val="5E565A8E"/>
    <w:rsid w:val="5F08322C"/>
    <w:rsid w:val="62456545"/>
    <w:rsid w:val="62D90A3C"/>
    <w:rsid w:val="63967A63"/>
    <w:rsid w:val="6593581A"/>
    <w:rsid w:val="65ED4F2A"/>
    <w:rsid w:val="665A1E94"/>
    <w:rsid w:val="67BD092C"/>
    <w:rsid w:val="69292FC1"/>
    <w:rsid w:val="69CE5072"/>
    <w:rsid w:val="69CE6E20"/>
    <w:rsid w:val="6A794FDE"/>
    <w:rsid w:val="6B6D2669"/>
    <w:rsid w:val="6C2B055A"/>
    <w:rsid w:val="6CC81D25"/>
    <w:rsid w:val="70B825D8"/>
    <w:rsid w:val="70F57389"/>
    <w:rsid w:val="74D7547D"/>
    <w:rsid w:val="753C2526"/>
    <w:rsid w:val="76816FC9"/>
    <w:rsid w:val="779F004E"/>
    <w:rsid w:val="78BE62B2"/>
    <w:rsid w:val="78E71CAD"/>
    <w:rsid w:val="7A2D6A57"/>
    <w:rsid w:val="7A74131E"/>
    <w:rsid w:val="7BAF95CB"/>
    <w:rsid w:val="7DDD48E9"/>
    <w:rsid w:val="FDB7A27D"/>
    <w:rsid w:val="FEEF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2" w:lineRule="auto"/>
      <w:ind w:left="10" w:right="95" w:hanging="10"/>
    </w:pPr>
    <w:rPr>
      <w:rFonts w:ascii="微软雅黑" w:hAnsi="微软雅黑" w:eastAsia="微软雅黑" w:cs="微软雅黑"/>
      <w:color w:val="000000"/>
      <w:kern w:val="2"/>
      <w:sz w:val="30"/>
      <w:szCs w:val="22"/>
      <w:lang w:val="en-US" w:eastAsia="zh-CN" w:bidi="ar-SA"/>
    </w:rPr>
  </w:style>
  <w:style w:type="paragraph" w:styleId="2">
    <w:name w:val="heading 1"/>
    <w:next w:val="1"/>
    <w:link w:val="16"/>
    <w:unhideWhenUsed/>
    <w:qFormat/>
    <w:uiPriority w:val="9"/>
    <w:pPr>
      <w:keepNext/>
      <w:keepLines/>
      <w:spacing w:after="92" w:line="259" w:lineRule="auto"/>
      <w:jc w:val="center"/>
      <w:outlineLvl w:val="0"/>
    </w:pPr>
    <w:rPr>
      <w:rFonts w:ascii="微软雅黑" w:hAnsi="微软雅黑" w:eastAsia="微软雅黑" w:cs="微软雅黑"/>
      <w:color w:val="000000"/>
      <w:kern w:val="2"/>
      <w:sz w:val="30"/>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style>
  <w:style w:type="paragraph" w:styleId="4">
    <w:name w:val="Body Text"/>
    <w:basedOn w:val="1"/>
    <w:link w:val="23"/>
    <w:qFormat/>
    <w:uiPriority w:val="1"/>
    <w:pPr>
      <w:widowControl w:val="0"/>
      <w:spacing w:after="0" w:line="240" w:lineRule="auto"/>
      <w:ind w:left="679" w:right="0" w:firstLine="0"/>
    </w:pPr>
    <w:rPr>
      <w:rFonts w:ascii="仿宋" w:hAnsi="仿宋" w:eastAsia="仿宋" w:cstheme="minorBidi"/>
      <w:color w:val="auto"/>
      <w:kern w:val="0"/>
      <w:sz w:val="28"/>
      <w:szCs w:val="28"/>
      <w:lang w:eastAsia="en-US"/>
    </w:rPr>
  </w:style>
  <w:style w:type="paragraph" w:styleId="5">
    <w:name w:val="Date"/>
    <w:basedOn w:val="1"/>
    <w:next w:val="1"/>
    <w:link w:val="20"/>
    <w:unhideWhenUsed/>
    <w:qFormat/>
    <w:uiPriority w:val="99"/>
    <w:pPr>
      <w:ind w:left="100" w:leftChars="2500"/>
    </w:pPr>
  </w:style>
  <w:style w:type="paragraph" w:styleId="6">
    <w:name w:val="Balloon Text"/>
    <w:basedOn w:val="1"/>
    <w:link w:val="30"/>
    <w:semiHidden/>
    <w:unhideWhenUsed/>
    <w:qFormat/>
    <w:uiPriority w:val="99"/>
    <w:pPr>
      <w:spacing w:after="0" w:line="240" w:lineRule="auto"/>
    </w:pPr>
    <w:rPr>
      <w:sz w:val="18"/>
      <w:szCs w:val="18"/>
    </w:rPr>
  </w:style>
  <w:style w:type="paragraph" w:styleId="7">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spacing w:before="100" w:beforeAutospacing="1" w:after="100" w:afterAutospacing="1" w:line="240" w:lineRule="auto"/>
      <w:ind w:left="0" w:right="0" w:firstLine="0"/>
    </w:pPr>
    <w:rPr>
      <w:rFonts w:ascii="宋体" w:hAnsi="宋体" w:eastAsia="宋体" w:cs="宋体"/>
      <w:color w:val="auto"/>
      <w:kern w:val="0"/>
      <w:sz w:val="24"/>
      <w:szCs w:val="24"/>
    </w:rPr>
  </w:style>
  <w:style w:type="paragraph" w:styleId="10">
    <w:name w:val="annotation subject"/>
    <w:basedOn w:val="3"/>
    <w:next w:val="3"/>
    <w:link w:val="29"/>
    <w:semiHidden/>
    <w:unhideWhenUsed/>
    <w:qFormat/>
    <w:uiPriority w:val="99"/>
    <w:rPr>
      <w:b/>
      <w:bCs/>
    </w:rPr>
  </w:style>
  <w:style w:type="character" w:styleId="13">
    <w:name w:val="Strong"/>
    <w:basedOn w:val="12"/>
    <w:qFormat/>
    <w:uiPriority w:val="22"/>
    <w:rPr>
      <w:b/>
      <w:bCs/>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标题 1 字符"/>
    <w:link w:val="2"/>
    <w:qFormat/>
    <w:uiPriority w:val="0"/>
    <w:rPr>
      <w:rFonts w:ascii="微软雅黑" w:hAnsi="微软雅黑" w:eastAsia="微软雅黑" w:cs="微软雅黑"/>
      <w:color w:val="000000"/>
      <w:sz w:val="30"/>
    </w:rPr>
  </w:style>
  <w:style w:type="table" w:customStyle="1" w:styleId="17">
    <w:name w:val="TableGrid"/>
    <w:qFormat/>
    <w:uiPriority w:val="0"/>
    <w:tblPr>
      <w:tblCellMar>
        <w:top w:w="0" w:type="dxa"/>
        <w:left w:w="0" w:type="dxa"/>
        <w:bottom w:w="0" w:type="dxa"/>
        <w:right w:w="0" w:type="dxa"/>
      </w:tblCellMar>
    </w:tblPr>
  </w:style>
  <w:style w:type="character" w:customStyle="1" w:styleId="18">
    <w:name w:val="页眉 字符"/>
    <w:basedOn w:val="12"/>
    <w:link w:val="8"/>
    <w:qFormat/>
    <w:uiPriority w:val="99"/>
    <w:rPr>
      <w:rFonts w:ascii="微软雅黑" w:hAnsi="微软雅黑" w:eastAsia="微软雅黑" w:cs="微软雅黑"/>
      <w:color w:val="000000"/>
      <w:sz w:val="18"/>
      <w:szCs w:val="18"/>
    </w:rPr>
  </w:style>
  <w:style w:type="character" w:customStyle="1" w:styleId="19">
    <w:name w:val="页脚 字符"/>
    <w:basedOn w:val="12"/>
    <w:link w:val="7"/>
    <w:qFormat/>
    <w:uiPriority w:val="99"/>
    <w:rPr>
      <w:rFonts w:ascii="微软雅黑" w:hAnsi="微软雅黑" w:eastAsia="微软雅黑" w:cs="微软雅黑"/>
      <w:color w:val="000000"/>
      <w:sz w:val="18"/>
      <w:szCs w:val="18"/>
    </w:rPr>
  </w:style>
  <w:style w:type="character" w:customStyle="1" w:styleId="20">
    <w:name w:val="日期 字符"/>
    <w:basedOn w:val="12"/>
    <w:link w:val="5"/>
    <w:semiHidden/>
    <w:qFormat/>
    <w:uiPriority w:val="99"/>
    <w:rPr>
      <w:rFonts w:ascii="微软雅黑" w:hAnsi="微软雅黑" w:eastAsia="微软雅黑" w:cs="微软雅黑"/>
      <w:color w:val="000000"/>
      <w:sz w:val="30"/>
    </w:rPr>
  </w:style>
  <w:style w:type="paragraph" w:customStyle="1" w:styleId="21">
    <w:name w:val="列出段落1"/>
    <w:basedOn w:val="1"/>
    <w:qFormat/>
    <w:uiPriority w:val="34"/>
    <w:pPr>
      <w:ind w:firstLine="420" w:firstLineChars="200"/>
    </w:pPr>
  </w:style>
  <w:style w:type="table" w:customStyle="1" w:styleId="22">
    <w:name w:val="无格式表格 41"/>
    <w:basedOn w:val="11"/>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正文文本 字符"/>
    <w:basedOn w:val="12"/>
    <w:link w:val="4"/>
    <w:qFormat/>
    <w:uiPriority w:val="1"/>
    <w:rPr>
      <w:rFonts w:ascii="仿宋" w:hAnsi="仿宋" w:eastAsia="仿宋"/>
      <w:kern w:val="0"/>
      <w:sz w:val="28"/>
      <w:szCs w:val="28"/>
      <w:lang w:eastAsia="en-US"/>
    </w:rPr>
  </w:style>
  <w:style w:type="character" w:customStyle="1" w:styleId="24">
    <w:name w:val="标题1"/>
    <w:basedOn w:val="12"/>
    <w:qFormat/>
    <w:uiPriority w:val="0"/>
  </w:style>
  <w:style w:type="paragraph" w:styleId="25">
    <w:name w:val="List Paragraph"/>
    <w:basedOn w:val="1"/>
    <w:qFormat/>
    <w:uiPriority w:val="99"/>
    <w:pPr>
      <w:widowControl w:val="0"/>
      <w:spacing w:after="0" w:line="240" w:lineRule="auto"/>
      <w:ind w:left="0" w:right="0" w:firstLine="420" w:firstLineChars="200"/>
      <w:jc w:val="both"/>
    </w:pPr>
    <w:rPr>
      <w:rFonts w:asciiTheme="minorHAnsi" w:hAnsiTheme="minorHAnsi" w:eastAsiaTheme="minorEastAsia" w:cstheme="minorBidi"/>
      <w:color w:val="auto"/>
      <w:sz w:val="21"/>
      <w:szCs w:val="24"/>
    </w:rPr>
  </w:style>
  <w:style w:type="paragraph" w:customStyle="1" w:styleId="26">
    <w:name w:val="样式1"/>
    <w:basedOn w:val="27"/>
    <w:qFormat/>
    <w:uiPriority w:val="0"/>
    <w:pPr>
      <w:widowControl w:val="0"/>
      <w:spacing w:after="0" w:line="360" w:lineRule="auto"/>
      <w:ind w:left="0" w:right="0" w:firstLine="0"/>
      <w:jc w:val="center"/>
    </w:pPr>
    <w:rPr>
      <w:rFonts w:hint="eastAsia" w:ascii="华文仿宋" w:hAnsi="华文仿宋" w:eastAsia="华文仿宋" w:cs="华文仿宋"/>
      <w:b/>
      <w:bCs/>
      <w:color w:val="auto"/>
    </w:rPr>
  </w:style>
  <w:style w:type="paragraph" w:customStyle="1" w:styleId="27">
    <w:name w:val="paragraph"/>
    <w:basedOn w:val="1"/>
    <w:semiHidden/>
    <w:qFormat/>
    <w:uiPriority w:val="0"/>
    <w:pPr>
      <w:spacing w:before="100" w:beforeAutospacing="1" w:after="100" w:afterAutospacing="1"/>
    </w:pPr>
    <w:rPr>
      <w:rFonts w:ascii="等线" w:hAnsi="等线" w:eastAsia="等线" w:cs="Times New Roman"/>
      <w:kern w:val="0"/>
      <w:sz w:val="24"/>
      <w:szCs w:val="24"/>
    </w:rPr>
  </w:style>
  <w:style w:type="character" w:customStyle="1" w:styleId="28">
    <w:name w:val="批注文字 字符"/>
    <w:basedOn w:val="12"/>
    <w:link w:val="3"/>
    <w:semiHidden/>
    <w:qFormat/>
    <w:uiPriority w:val="99"/>
    <w:rPr>
      <w:rFonts w:ascii="微软雅黑" w:hAnsi="微软雅黑" w:eastAsia="微软雅黑" w:cs="微软雅黑"/>
      <w:color w:val="000000"/>
      <w:kern w:val="2"/>
      <w:sz w:val="30"/>
      <w:szCs w:val="22"/>
    </w:rPr>
  </w:style>
  <w:style w:type="character" w:customStyle="1" w:styleId="29">
    <w:name w:val="批注主题 字符"/>
    <w:basedOn w:val="28"/>
    <w:link w:val="10"/>
    <w:semiHidden/>
    <w:qFormat/>
    <w:uiPriority w:val="99"/>
    <w:rPr>
      <w:rFonts w:ascii="微软雅黑" w:hAnsi="微软雅黑" w:eastAsia="微软雅黑" w:cs="微软雅黑"/>
      <w:b/>
      <w:bCs/>
      <w:color w:val="000000"/>
      <w:kern w:val="2"/>
      <w:sz w:val="30"/>
      <w:szCs w:val="22"/>
    </w:rPr>
  </w:style>
  <w:style w:type="character" w:customStyle="1" w:styleId="30">
    <w:name w:val="批注框文本 字符"/>
    <w:basedOn w:val="12"/>
    <w:link w:val="6"/>
    <w:semiHidden/>
    <w:qFormat/>
    <w:uiPriority w:val="99"/>
    <w:rPr>
      <w:rFonts w:ascii="微软雅黑" w:hAnsi="微软雅黑" w:eastAsia="微软雅黑" w:cs="微软雅黑"/>
      <w:color w:val="000000"/>
      <w:kern w:val="2"/>
      <w:sz w:val="18"/>
      <w:szCs w:val="18"/>
    </w:rPr>
  </w:style>
  <w:style w:type="paragraph" w:customStyle="1" w:styleId="31">
    <w:name w:val="修订1"/>
    <w:hidden/>
    <w:semiHidden/>
    <w:qFormat/>
    <w:uiPriority w:val="99"/>
    <w:rPr>
      <w:rFonts w:ascii="微软雅黑" w:hAnsi="微软雅黑" w:eastAsia="微软雅黑" w:cs="微软雅黑"/>
      <w:color w:val="000000"/>
      <w:kern w:val="2"/>
      <w:sz w:val="30"/>
      <w:szCs w:val="22"/>
      <w:lang w:val="en-US" w:eastAsia="zh-CN" w:bidi="ar-SA"/>
    </w:rPr>
  </w:style>
  <w:style w:type="character" w:customStyle="1" w:styleId="32">
    <w:name w:val="font91"/>
    <w:basedOn w:val="12"/>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CB38D-B195-4226-8D87-159937053357}">
  <ds:schemaRefs/>
</ds:datastoreItem>
</file>

<file path=docProps/app.xml><?xml version="1.0" encoding="utf-8"?>
<Properties xmlns="http://schemas.openxmlformats.org/officeDocument/2006/extended-properties" xmlns:vt="http://schemas.openxmlformats.org/officeDocument/2006/docPropsVTypes">
  <Template>Normal</Template>
  <Pages>3</Pages>
  <Words>1983</Words>
  <Characters>2054</Characters>
  <Lines>80</Lines>
  <Paragraphs>56</Paragraphs>
  <TotalTime>6</TotalTime>
  <ScaleCrop>false</ScaleCrop>
  <LinksUpToDate>false</LinksUpToDate>
  <CharactersWithSpaces>2057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2025-05-15T04:32:00Z</dcterms:created>
  <dc:creator>lan</dc:creator>
  <cp:lastModifiedBy>Administrator</cp:lastModifiedBy>
  <cp:lastPrinted>2025-05-07T10:56:00Z</cp:lastPrinted>
  <dcterms:modified xsi:type="dcterms:W3CDTF">2025-05-19T09:15:33Z</dcterms:modified>
  <dc:title>关于召开中国土木工程学会与建筑市场与招标投标研究分会第六届理事会第三次扩大会议的通知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FA2B70199AC74F4B8109955DDE17F107_13</vt:lpwstr>
  </property>
  <property fmtid="{D5CDD505-2E9C-101B-9397-08002B2CF9AE}" pid="4" name="KSOTemplateDocerSaveRecord">
    <vt:lpwstr>eyJoZGlkIjoiZTRjODI4YjZkMzA0NjBiMTQwNGRhN2NlMDZhYTcyMjYiLCJ1c2VySWQiOiIzNTEyNDUzNjcifQ==</vt:lpwstr>
  </property>
</Properties>
</file>