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0" w:after="0" w:line="64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1</w:t>
      </w:r>
    </w:p>
    <w:p>
      <w:pPr>
        <w:spacing w:line="640" w:lineRule="exact"/>
        <w:jc w:val="center"/>
        <w:rPr>
          <w:rFonts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color w:val="auto"/>
          <w:kern w:val="0"/>
          <w:sz w:val="40"/>
          <w:szCs w:val="28"/>
          <w:lang w:val="zh-CN"/>
        </w:rPr>
        <w:t>专题会议演讲主题及发言嘉宾</w:t>
      </w:r>
    </w:p>
    <w:p>
      <w:pPr>
        <w:spacing w:line="640" w:lineRule="exact"/>
        <w:ind w:firstLine="640" w:firstLineChars="200"/>
        <w:contextualSpacing/>
        <w:jc w:val="left"/>
        <w:rPr>
          <w:rFonts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spacing w:line="640" w:lineRule="exact"/>
        <w:ind w:firstLine="640" w:firstLineChars="200"/>
        <w:contextualSpacing/>
        <w:jc w:val="left"/>
        <w:rPr>
          <w:rFonts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 xml:space="preserve">专题一：税务管理 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价值创造</w:t>
      </w:r>
    </w:p>
    <w:p>
      <w:pPr>
        <w:spacing w:line="640" w:lineRule="exact"/>
        <w:ind w:firstLine="640" w:firstLineChars="200"/>
        <w:contextualSpacing/>
        <w:jc w:val="left"/>
        <w:rPr>
          <w:rFonts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18日上午：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1.《税务逻辑与税务业务数字化应用》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中国化学工程集团有限公司财务资金部副部长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宋志鹏 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2.《城市更新、片区开发等土地一二级联动项目税务规划要点解析》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赛普华政税务询有限公司总经理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 仉喜林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3.《投融资项目及REITs全流程税务管理》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北京华政税务师事务所有限公司总监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 王冲</w:t>
      </w:r>
    </w:p>
    <w:p>
      <w:pPr>
        <w:spacing w:line="640" w:lineRule="exact"/>
        <w:ind w:firstLine="640" w:firstLineChars="200"/>
        <w:contextualSpacing/>
        <w:jc w:val="left"/>
        <w:rPr>
          <w:rFonts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18日下午：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4.《海外项目财税管理经验分享》 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中国葛洲坝集团国际工程有限公司专家 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5.《G20/OECD国际税改“双支柱”规则解析与应对》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华政税务国际业务合伙人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唐昌宇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6.《建筑企业税务风险警示与防范》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440" w:right="1644" w:bottom="1440" w:left="1644" w:header="851" w:footer="992" w:gutter="0"/>
          <w:cols w:space="425" w:num="1"/>
          <w:docGrid w:linePitch="312" w:charSpace="0"/>
        </w:sect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中南财经政法大学财税学院副教授 王敏</w:t>
      </w:r>
    </w:p>
    <w:p>
      <w:pPr>
        <w:spacing w:line="640" w:lineRule="exact"/>
        <w:ind w:firstLine="640" w:firstLineChars="200"/>
        <w:contextualSpacing/>
        <w:jc w:val="left"/>
        <w:rPr>
          <w:rFonts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专题二：业财融合</w:t>
      </w:r>
    </w:p>
    <w:p>
      <w:pPr>
        <w:spacing w:line="640" w:lineRule="exact"/>
        <w:ind w:firstLine="640" w:firstLineChars="200"/>
        <w:contextualSpacing/>
        <w:jc w:val="left"/>
        <w:rPr>
          <w:rFonts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18日上午：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1.《大数据监管下建筑施工企业税务管理、筹划和稽查应对策略》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北京交通大学经济管理学院兼职教授、上海桃子财务咨询中心主任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陶国军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2.《商财一体 成本领先》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新中大科技股份有限公司副总裁 孙越东</w:t>
      </w:r>
    </w:p>
    <w:p>
      <w:pPr>
        <w:spacing w:line="640" w:lineRule="exact"/>
        <w:ind w:firstLine="640" w:firstLineChars="200"/>
        <w:contextualSpacing/>
        <w:jc w:val="left"/>
        <w:rPr>
          <w:rFonts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18日下午：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3．《业财融合数字化管理创新》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武汉建工（集团）有限公司总经济师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高蓉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4．《“数据共享 高效管控”创建武勘院管理新模式》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中冶武汉勘察设计院有限公司财务部部长 谢皓宇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5．《金税四期背景下的业财资税一体化管理》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新中大科技股份有限公司客户中心总经理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林根万</w:t>
      </w:r>
    </w:p>
    <w:p>
      <w:pPr>
        <w:pStyle w:val="6"/>
        <w:adjustRightInd w:val="0"/>
        <w:snapToGrid w:val="0"/>
        <w:spacing w:line="64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440" w:right="1644" w:bottom="1440" w:left="1644" w:header="851" w:footer="992" w:gutter="0"/>
          <w:cols w:space="425" w:num="1"/>
          <w:docGrid w:linePitch="312" w:charSpace="0"/>
        </w:sectPr>
      </w:pPr>
      <w:r>
        <w:rPr>
          <w:rFonts w:ascii="仿宋_GB2312" w:hAnsi="Times New Roman" w:eastAsia="仿宋_GB2312" w:cs="Times New Roman"/>
          <w:color w:val="auto"/>
          <w:sz w:val="32"/>
          <w:szCs w:val="32"/>
        </w:rPr>
        <w:t>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.现场答疑交流</w:t>
      </w:r>
    </w:p>
    <w:p>
      <w:pPr>
        <w:spacing w:line="640" w:lineRule="exact"/>
        <w:ind w:firstLine="640" w:firstLineChars="200"/>
        <w:contextualSpacing/>
        <w:jc w:val="left"/>
        <w:rPr>
          <w:rFonts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专题三：数智化时代建筑企业财务管理转型</w:t>
      </w:r>
    </w:p>
    <w:p>
      <w:pPr>
        <w:spacing w:line="640" w:lineRule="exact"/>
        <w:ind w:firstLine="640" w:firstLineChars="200"/>
        <w:contextualSpacing/>
        <w:jc w:val="left"/>
        <w:rPr>
          <w:rFonts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18日上午：</w:t>
      </w:r>
    </w:p>
    <w:p>
      <w:pPr>
        <w:spacing w:line="64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1.《建筑行业财务数智化转型趋势》    </w:t>
      </w:r>
    </w:p>
    <w:p>
      <w:pPr>
        <w:spacing w:line="64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和君咨询建筑事业部总经理、和君咨询资深合伙人、战略规划与执行知名实战专家 熊雪涛</w:t>
      </w:r>
    </w:p>
    <w:p>
      <w:pPr>
        <w:spacing w:line="64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2.《大型企业财务数智化转型路径》</w:t>
      </w:r>
    </w:p>
    <w:p>
      <w:pPr>
        <w:spacing w:line="64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用友网络高级专家 吴昌秀</w:t>
      </w:r>
    </w:p>
    <w:p>
      <w:pPr>
        <w:spacing w:line="64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3.《中国大型企业财务共享建设最佳实践及案例》</w:t>
      </w:r>
    </w:p>
    <w:p>
      <w:pPr>
        <w:spacing w:line="64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用友网络财务共享专家 李建   </w:t>
      </w:r>
    </w:p>
    <w:p>
      <w:pPr>
        <w:spacing w:line="64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4.《某大型建企业财务共享数智化实践》 </w:t>
      </w:r>
    </w:p>
    <w:p>
      <w:pPr>
        <w:spacing w:line="64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中冶华天工程技术有限公司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龚芳露</w:t>
      </w:r>
    </w:p>
    <w:p>
      <w:pPr>
        <w:spacing w:line="640" w:lineRule="exact"/>
        <w:ind w:firstLine="640" w:firstLineChars="200"/>
        <w:contextualSpacing/>
        <w:jc w:val="left"/>
        <w:rPr>
          <w:rFonts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18日下午：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.《业财融合助力建筑企业高质量发展》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用友建筑业务专家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黄业茂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.《如何构建纵横贯通的全面预算管理体系》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用友网络全面预算专家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张伟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《数字赋能 建筑企业税务数智化管理变革及案例》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ab/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用友网络税务云咨询方案部经理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孟超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.《数字经济新发展 电子档案见真章》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用友网络电子档案咨询专家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张艳超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《企业报告合并数智化转型路径及案例》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用友网络报告及合并专家 费冬冬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《流程驱动+数据驱动 建设世界一流司库体系》</w:t>
      </w:r>
    </w:p>
    <w:p>
      <w:pPr>
        <w:spacing w:line="640" w:lineRule="exact"/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用友网络高级专家 汪青</w:t>
      </w:r>
      <w:bookmarkStart w:id="0" w:name="_GoBack"/>
      <w:bookmarkEnd w:id="0"/>
    </w:p>
    <w:p/>
    <w:sectPr>
      <w:pgSz w:w="11906" w:h="16838"/>
      <w:pgMar w:top="1440" w:right="1644" w:bottom="1780" w:left="164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YTJhMTA2ODVmYTQxMTRkZjczMzBkYjU3ZWJlNDAifQ=="/>
  </w:docVars>
  <w:rsids>
    <w:rsidRoot w:val="00000000"/>
    <w:rsid w:val="428A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2022-07-25T12:11:49Z</dcterms:created>
  <dc:creator>王海波</dc:creator>
  <cp:lastModifiedBy>海纳百川</cp:lastModifiedBy>
  <dcterms:modified xsi:type="dcterms:W3CDTF">2022-07-25T12:12:09Z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7D5A1AAD525A47618127D32DB0289F2E</vt:lpwstr>
  </property>
</Properties>
</file>